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8749A" w14:textId="0986FFB4" w:rsidR="00171907" w:rsidRPr="009150DF" w:rsidRDefault="00F3662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  <w:bookmarkStart w:id="0" w:name="_GoBack"/>
      <w:bookmarkEnd w:id="0"/>
      <w:r w:rsidRPr="009150DF">
        <w:rPr>
          <w:rFonts w:ascii="Century Gothic" w:hAnsi="Century Gothic" w:cstheme="minorHAnsi"/>
          <w:sz w:val="20"/>
          <w:lang w:val="es-CO"/>
        </w:rPr>
        <w:t xml:space="preserve">Por medio de la cual se autoriza </w:t>
      </w:r>
      <w:r w:rsidR="00040F66" w:rsidRPr="009150DF">
        <w:rPr>
          <w:rFonts w:ascii="Century Gothic" w:hAnsi="Century Gothic" w:cstheme="minorHAnsi"/>
          <w:sz w:val="20"/>
          <w:lang w:val="es-CO"/>
        </w:rPr>
        <w:t xml:space="preserve">unas modificaciones en el presupuesto de </w:t>
      </w:r>
      <w:r w:rsidRPr="009150DF">
        <w:rPr>
          <w:rFonts w:ascii="Century Gothic" w:hAnsi="Century Gothic" w:cstheme="minorHAnsi"/>
          <w:sz w:val="20"/>
          <w:lang w:val="es-CO"/>
        </w:rPr>
        <w:t>Gastos</w:t>
      </w:r>
      <w:r w:rsidR="00171907" w:rsidRPr="009150DF">
        <w:rPr>
          <w:rFonts w:ascii="Century Gothic" w:hAnsi="Century Gothic" w:cstheme="minorHAnsi"/>
          <w:sz w:val="20"/>
          <w:lang w:val="es-CO"/>
        </w:rPr>
        <w:t xml:space="preserve"> de</w:t>
      </w:r>
      <w:r w:rsidR="006F3CCB" w:rsidRPr="009150DF">
        <w:rPr>
          <w:rFonts w:ascii="Century Gothic" w:hAnsi="Century Gothic" w:cstheme="minorHAnsi"/>
          <w:sz w:val="20"/>
          <w:lang w:val="es-CO"/>
        </w:rPr>
        <w:t xml:space="preserve"> </w:t>
      </w:r>
      <w:r w:rsidR="00171907" w:rsidRPr="009150DF">
        <w:rPr>
          <w:rFonts w:ascii="Century Gothic" w:hAnsi="Century Gothic" w:cstheme="minorHAnsi"/>
          <w:sz w:val="20"/>
          <w:lang w:val="es-CO"/>
        </w:rPr>
        <w:t>la vigencia de 202</w:t>
      </w:r>
      <w:r w:rsidR="0032412A">
        <w:rPr>
          <w:rFonts w:ascii="Century Gothic" w:hAnsi="Century Gothic" w:cstheme="minorHAnsi"/>
          <w:sz w:val="20"/>
          <w:lang w:val="es-CO"/>
        </w:rPr>
        <w:t>5</w:t>
      </w:r>
      <w:r w:rsidRPr="009150DF">
        <w:rPr>
          <w:rFonts w:ascii="Century Gothic" w:hAnsi="Century Gothic" w:cstheme="minorHAnsi"/>
          <w:sz w:val="20"/>
          <w:lang w:val="es-CO"/>
        </w:rPr>
        <w:t xml:space="preserve">. </w:t>
      </w:r>
    </w:p>
    <w:p w14:paraId="6D6E1634" w14:textId="77777777" w:rsidR="00171907" w:rsidRPr="009150DF" w:rsidRDefault="0017190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</w:p>
    <w:p w14:paraId="3356B610" w14:textId="77777777" w:rsidR="00F36627" w:rsidRPr="009150DF" w:rsidRDefault="00F3662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  <w:r w:rsidRPr="009150DF">
        <w:rPr>
          <w:rFonts w:ascii="Century Gothic" w:hAnsi="Century Gothic" w:cstheme="minorHAnsi"/>
          <w:sz w:val="20"/>
          <w:lang w:val="es-CO"/>
        </w:rPr>
        <w:t>El Consejo directivo de la Institución Educativa Raíces del Futuro, en uso de sus atribuciones legales y,</w:t>
      </w:r>
    </w:p>
    <w:p w14:paraId="20935051" w14:textId="77777777" w:rsidR="002B24FD" w:rsidRPr="009150DF" w:rsidRDefault="002B24FD" w:rsidP="00F36627">
      <w:pPr>
        <w:jc w:val="center"/>
        <w:rPr>
          <w:rFonts w:ascii="Century Gothic" w:hAnsi="Century Gothic" w:cstheme="minorHAnsi"/>
          <w:b/>
          <w:lang w:val="es-CO"/>
        </w:rPr>
      </w:pPr>
    </w:p>
    <w:p w14:paraId="4E7CF85C" w14:textId="77777777" w:rsidR="00F36627" w:rsidRPr="009150DF" w:rsidRDefault="00F36627" w:rsidP="00F36627">
      <w:pPr>
        <w:jc w:val="center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CONSIDERANDO</w:t>
      </w:r>
    </w:p>
    <w:p w14:paraId="2B50BF75" w14:textId="77777777" w:rsidR="00F36627" w:rsidRPr="009150DF" w:rsidRDefault="00F36627" w:rsidP="00F36627">
      <w:pPr>
        <w:jc w:val="both"/>
        <w:rPr>
          <w:rFonts w:ascii="Century Gothic" w:hAnsi="Century Gothic" w:cstheme="minorHAnsi"/>
          <w:lang w:val="es-CO"/>
        </w:rPr>
      </w:pPr>
    </w:p>
    <w:p w14:paraId="53CDC3C5" w14:textId="041F8DD6" w:rsidR="00EA4CC8" w:rsidRPr="004F114A" w:rsidRDefault="00EA4CC8" w:rsidP="00536252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Style w:val="nfasis"/>
          <w:rFonts w:ascii="Century Gothic" w:hAnsi="Century Gothic" w:cstheme="minorHAnsi"/>
          <w:i w:val="0"/>
          <w:lang w:val="es-CO"/>
        </w:rPr>
        <w:t>a-Que la Admin</w:t>
      </w:r>
      <w:r w:rsidR="003A64CF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istración y funcionamiento del 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>Fondo de Servicios</w:t>
      </w:r>
      <w:r w:rsidR="003A64CF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>Educativos</w:t>
      </w:r>
      <w:r w:rsidR="007C1C2D">
        <w:rPr>
          <w:rStyle w:val="nfasis"/>
          <w:rFonts w:ascii="Century Gothic" w:hAnsi="Century Gothic" w:cstheme="minorHAnsi"/>
          <w:i w:val="0"/>
          <w:lang w:val="es-CO"/>
        </w:rPr>
        <w:t>(FSE)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existente en la   institución Educativa se regirá y se ajustará a las normas establecidas </w:t>
      </w:r>
      <w:r w:rsidR="006F3CCB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en 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>Ley</w:t>
      </w:r>
      <w:r w:rsidR="007C1C2D">
        <w:rPr>
          <w:rStyle w:val="nfasis"/>
          <w:rFonts w:ascii="Century Gothic" w:hAnsi="Century Gothic" w:cstheme="minorHAnsi"/>
          <w:i w:val="0"/>
          <w:lang w:val="es-CO"/>
        </w:rPr>
        <w:t xml:space="preserve"> 115 de 1994, ley 715 de 2001,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Decreto 4791 del 19 de diciembre de 2008, </w:t>
      </w:r>
      <w:r w:rsidR="007C1C2D">
        <w:rPr>
          <w:rStyle w:val="nfasis"/>
          <w:rFonts w:ascii="Century Gothic" w:hAnsi="Century Gothic" w:cstheme="minorHAnsi"/>
          <w:i w:val="0"/>
          <w:lang w:val="es-CO"/>
        </w:rPr>
        <w:t xml:space="preserve">normas 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>compilad</w:t>
      </w:r>
      <w:r w:rsidR="007C1C2D">
        <w:rPr>
          <w:rStyle w:val="nfasis"/>
          <w:rFonts w:ascii="Century Gothic" w:hAnsi="Century Gothic" w:cstheme="minorHAnsi"/>
          <w:i w:val="0"/>
          <w:lang w:val="es-CO"/>
        </w:rPr>
        <w:t xml:space="preserve">as 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en el decreto 1075 </w:t>
      </w:r>
      <w:r w:rsidR="00536252">
        <w:rPr>
          <w:rStyle w:val="nfasis"/>
          <w:rFonts w:ascii="Century Gothic" w:hAnsi="Century Gothic" w:cstheme="minorHAnsi"/>
          <w:i w:val="0"/>
          <w:lang w:val="es-CO"/>
        </w:rPr>
        <w:t>de 2015(Decreto único reglamentario del Sector Educación)</w:t>
      </w:r>
    </w:p>
    <w:p w14:paraId="17DC355C" w14:textId="77777777" w:rsidR="00EA4CC8" w:rsidRPr="004F114A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75F7C743" w14:textId="6D65FACB" w:rsidR="00EA4CC8" w:rsidRPr="009150DF" w:rsidRDefault="00395D77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4F114A">
        <w:rPr>
          <w:rStyle w:val="nfasis"/>
          <w:rFonts w:ascii="Century Gothic" w:hAnsi="Century Gothic" w:cstheme="minorHAnsi"/>
          <w:i w:val="0"/>
          <w:lang w:val="es-CO"/>
        </w:rPr>
        <w:t>b-Que Mediante acuerdo  No.</w:t>
      </w:r>
      <w:r w:rsidR="00853AD4" w:rsidRPr="004F114A">
        <w:rPr>
          <w:rStyle w:val="nfasis"/>
          <w:rFonts w:ascii="Century Gothic" w:hAnsi="Century Gothic" w:cstheme="minorHAnsi"/>
          <w:i w:val="0"/>
          <w:lang w:val="es-CO"/>
        </w:rPr>
        <w:t>0</w:t>
      </w:r>
      <w:r w:rsidR="0032412A" w:rsidRPr="004F114A">
        <w:rPr>
          <w:rStyle w:val="nfasis"/>
          <w:rFonts w:ascii="Century Gothic" w:hAnsi="Century Gothic" w:cstheme="minorHAnsi"/>
          <w:i w:val="0"/>
          <w:lang w:val="es-CO"/>
        </w:rPr>
        <w:t>6</w:t>
      </w:r>
      <w:r w:rsidR="00EA4CC8" w:rsidRPr="004F114A">
        <w:rPr>
          <w:rStyle w:val="nfasis"/>
          <w:rFonts w:ascii="Century Gothic" w:hAnsi="Century Gothic" w:cstheme="minorHAnsi"/>
          <w:i w:val="0"/>
          <w:lang w:val="es-CO"/>
        </w:rPr>
        <w:t xml:space="preserve"> </w:t>
      </w:r>
      <w:r w:rsidRPr="004F114A">
        <w:rPr>
          <w:rStyle w:val="nfasis"/>
          <w:rFonts w:ascii="Century Gothic" w:hAnsi="Century Gothic" w:cstheme="minorHAnsi"/>
          <w:i w:val="0"/>
          <w:lang w:val="es-CO"/>
        </w:rPr>
        <w:t xml:space="preserve">del 27 de noviembre de 2024, </w:t>
      </w:r>
      <w:r w:rsidR="00EA4CC8" w:rsidRPr="004F114A">
        <w:rPr>
          <w:rStyle w:val="nfasis"/>
          <w:rFonts w:ascii="Century Gothic" w:hAnsi="Century Gothic" w:cstheme="minorHAnsi"/>
          <w:i w:val="0"/>
          <w:lang w:val="es-CO"/>
        </w:rPr>
        <w:t>el Consejo Directivo de la “INSTITUCIÓN EDUCATIVA RA</w:t>
      </w:r>
      <w:r w:rsidR="006F3CCB" w:rsidRPr="004F114A">
        <w:rPr>
          <w:rStyle w:val="nfasis"/>
          <w:rFonts w:ascii="Century Gothic" w:hAnsi="Century Gothic" w:cstheme="minorHAnsi"/>
          <w:i w:val="0"/>
          <w:lang w:val="es-CO"/>
        </w:rPr>
        <w:t>Í</w:t>
      </w:r>
      <w:r w:rsidR="00EA4CC8" w:rsidRPr="004F114A">
        <w:rPr>
          <w:rStyle w:val="nfasis"/>
          <w:rFonts w:ascii="Century Gothic" w:hAnsi="Century Gothic" w:cstheme="minorHAnsi"/>
          <w:i w:val="0"/>
          <w:lang w:val="es-CO"/>
        </w:rPr>
        <w:t>CES DEL FUTURO”</w:t>
      </w:r>
      <w:r w:rsidRPr="004F114A">
        <w:rPr>
          <w:rStyle w:val="nfasis"/>
          <w:rFonts w:ascii="Century Gothic" w:hAnsi="Century Gothic" w:cstheme="minorHAnsi"/>
          <w:i w:val="0"/>
          <w:lang w:val="es-CO"/>
        </w:rPr>
        <w:t xml:space="preserve">, </w:t>
      </w:r>
      <w:r w:rsidR="00EA4CC8" w:rsidRPr="004F114A">
        <w:rPr>
          <w:rStyle w:val="nfasis"/>
          <w:rFonts w:ascii="Century Gothic" w:hAnsi="Century Gothic" w:cstheme="minorHAnsi"/>
          <w:i w:val="0"/>
          <w:lang w:val="es-CO"/>
        </w:rPr>
        <w:t>aprobó el presupuesto del ente educativo, para la vigencia 20</w:t>
      </w:r>
      <w:r w:rsidR="006C4C1D" w:rsidRPr="004F114A">
        <w:rPr>
          <w:rStyle w:val="nfasis"/>
          <w:rFonts w:ascii="Century Gothic" w:hAnsi="Century Gothic" w:cstheme="minorHAnsi"/>
          <w:i w:val="0"/>
          <w:lang w:val="es-CO"/>
        </w:rPr>
        <w:t>2</w:t>
      </w:r>
      <w:r w:rsidR="0032412A" w:rsidRPr="004F114A">
        <w:rPr>
          <w:rStyle w:val="nfasis"/>
          <w:rFonts w:ascii="Century Gothic" w:hAnsi="Century Gothic" w:cstheme="minorHAnsi"/>
          <w:i w:val="0"/>
          <w:lang w:val="es-CO"/>
        </w:rPr>
        <w:t>5</w:t>
      </w:r>
      <w:r w:rsidR="00EA4CC8" w:rsidRPr="004F114A">
        <w:rPr>
          <w:rStyle w:val="nfasis"/>
          <w:rFonts w:ascii="Century Gothic" w:hAnsi="Century Gothic" w:cstheme="minorHAnsi"/>
          <w:i w:val="0"/>
          <w:lang w:val="es-CO"/>
        </w:rPr>
        <w:t xml:space="preserve">, con una apropiación inicial  de  </w:t>
      </w:r>
      <w:r w:rsidR="0032412A" w:rsidRPr="004F114A">
        <w:rPr>
          <w:rFonts w:ascii="Century Gothic" w:hAnsi="Century Gothic" w:cstheme="minorHAnsi"/>
        </w:rPr>
        <w:t xml:space="preserve">CIENTO </w:t>
      </w:r>
      <w:r w:rsidR="00146947" w:rsidRPr="004F114A">
        <w:rPr>
          <w:rFonts w:ascii="Century Gothic" w:hAnsi="Century Gothic" w:cstheme="minorHAnsi"/>
        </w:rPr>
        <w:t>TREINTA Y CINCO</w:t>
      </w:r>
      <w:r w:rsidR="0032412A" w:rsidRPr="004F114A">
        <w:rPr>
          <w:rFonts w:ascii="Century Gothic" w:hAnsi="Century Gothic" w:cstheme="minorHAnsi"/>
        </w:rPr>
        <w:t xml:space="preserve"> MILLONES </w:t>
      </w:r>
      <w:r w:rsidR="00146947" w:rsidRPr="004F114A">
        <w:rPr>
          <w:rFonts w:ascii="Century Gothic" w:hAnsi="Century Gothic" w:cstheme="minorHAnsi"/>
        </w:rPr>
        <w:t>NOVECIENTOS</w:t>
      </w:r>
      <w:r w:rsidR="0032412A" w:rsidRPr="004F114A">
        <w:rPr>
          <w:rFonts w:ascii="Century Gothic" w:hAnsi="Century Gothic" w:cstheme="minorHAnsi"/>
        </w:rPr>
        <w:t xml:space="preserve"> CUARENTA Y CUATRO MIL DOSCIENTOS NOVENTA Y SIETE   PESOS  ($1</w:t>
      </w:r>
      <w:r w:rsidR="00146947" w:rsidRPr="004F114A">
        <w:rPr>
          <w:rFonts w:ascii="Century Gothic" w:hAnsi="Century Gothic" w:cstheme="minorHAnsi"/>
        </w:rPr>
        <w:t>35.9</w:t>
      </w:r>
      <w:r w:rsidR="0032412A" w:rsidRPr="004F114A">
        <w:rPr>
          <w:rFonts w:ascii="Century Gothic" w:hAnsi="Century Gothic" w:cstheme="minorHAnsi"/>
        </w:rPr>
        <w:t>44.297.oo) MCTE</w:t>
      </w:r>
      <w:r w:rsidR="00EA4CC8" w:rsidRPr="004F114A">
        <w:rPr>
          <w:rFonts w:ascii="Century Gothic" w:hAnsi="Century Gothic" w:cstheme="minorHAnsi"/>
          <w:lang w:val="es-CO"/>
        </w:rPr>
        <w:t>.</w:t>
      </w:r>
    </w:p>
    <w:p w14:paraId="3DA44210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618728DE" w14:textId="40DE558D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Style w:val="nfasis"/>
          <w:rFonts w:ascii="Century Gothic" w:hAnsi="Century Gothic" w:cstheme="minorHAnsi"/>
          <w:i w:val="0"/>
          <w:lang w:val="es-CO"/>
        </w:rPr>
        <w:t>c-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>Que según lo dispuesto en el Decreto 1075 de 2015</w:t>
      </w:r>
      <w:r w:rsidR="00536252">
        <w:rPr>
          <w:rStyle w:val="nfasis"/>
          <w:rFonts w:ascii="Century Gothic" w:hAnsi="Century Gothic" w:cstheme="minorHAnsi"/>
          <w:i w:val="0"/>
          <w:lang w:val="es-CO"/>
        </w:rPr>
        <w:t xml:space="preserve">, 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</w:t>
      </w:r>
      <w:r w:rsidR="007C1C2D">
        <w:rPr>
          <w:rStyle w:val="nfasis"/>
          <w:rFonts w:ascii="Century Gothic" w:hAnsi="Century Gothic" w:cstheme="minorHAnsi"/>
          <w:i w:val="0"/>
          <w:lang w:val="es-CO"/>
        </w:rPr>
        <w:t xml:space="preserve">en </w:t>
      </w:r>
      <w:r w:rsidR="00C347FB">
        <w:rPr>
          <w:rStyle w:val="nfasis"/>
          <w:rFonts w:ascii="Century Gothic" w:hAnsi="Century Gothic" w:cstheme="minorHAnsi"/>
          <w:i w:val="0"/>
          <w:lang w:val="es-CO"/>
        </w:rPr>
        <w:t>el capítulo 6</w:t>
      </w:r>
      <w:r w:rsidR="00536252">
        <w:rPr>
          <w:rStyle w:val="nfasis"/>
          <w:rFonts w:ascii="Century Gothic" w:hAnsi="Century Gothic" w:cstheme="minorHAnsi"/>
          <w:i w:val="0"/>
          <w:lang w:val="es-CO"/>
        </w:rPr>
        <w:t>,</w:t>
      </w:r>
      <w:r w:rsidR="00C347FB">
        <w:rPr>
          <w:rStyle w:val="nfasis"/>
          <w:rFonts w:ascii="Century Gothic" w:hAnsi="Century Gothic" w:cstheme="minorHAnsi"/>
          <w:i w:val="0"/>
          <w:lang w:val="es-CO"/>
        </w:rPr>
        <w:t xml:space="preserve"> sección 3(</w:t>
      </w:r>
      <w:r w:rsidR="00C347FB">
        <w:rPr>
          <w:rStyle w:val="Textoennegrita"/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Fondo de Servicios Educativos de los establecimientos educativos estatales); 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>en el Artículo 2.3.1.6.3.6, RESPONSABILIDADES DEL RECTOR O DIRECTORES RURALES, Numeral 3</w:t>
      </w:r>
      <w:r w:rsidR="00C347FB">
        <w:rPr>
          <w:rStyle w:val="nfasis"/>
          <w:rFonts w:ascii="Century Gothic" w:hAnsi="Century Gothic" w:cstheme="minorHAnsi"/>
          <w:i w:val="0"/>
          <w:lang w:val="es-CO"/>
        </w:rPr>
        <w:t>, establece: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</w:t>
      </w:r>
      <w:r w:rsidR="00536252">
        <w:rPr>
          <w:rStyle w:val="nfasis"/>
          <w:rFonts w:ascii="Century Gothic" w:hAnsi="Century Gothic" w:cstheme="minorHAnsi"/>
          <w:i w:val="0"/>
          <w:lang w:val="es-CO"/>
        </w:rPr>
        <w:t>“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>Elaborar con la Justificación Correspondiente los proyectos de adición presupuestal y los traslados presupuestales, para aprobación del Consejo Directivo</w:t>
      </w:r>
      <w:r w:rsidR="00536252">
        <w:rPr>
          <w:rStyle w:val="nfasis"/>
          <w:rFonts w:ascii="Century Gothic" w:hAnsi="Century Gothic" w:cstheme="minorHAnsi"/>
          <w:i w:val="0"/>
          <w:lang w:val="es-CO"/>
        </w:rPr>
        <w:t>”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>.</w:t>
      </w:r>
    </w:p>
    <w:p w14:paraId="1937AA50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078D747D" w14:textId="1A1EDD43" w:rsidR="00EA4CC8" w:rsidRPr="00536252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Style w:val="nfasis"/>
          <w:rFonts w:ascii="Century Gothic" w:hAnsi="Century Gothic" w:cstheme="minorHAnsi"/>
          <w:i w:val="0"/>
          <w:lang w:val="es-CO"/>
        </w:rPr>
        <w:t>d-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>Que es deber del Consejo Directivo de la Institución aprobar las adiciones y modificaciones al presupuesto vigente, de conformidad con lo dispuesto en el numeral 3 del artículo 2.3.1.6.3.5 del decreto 1075 de 2015</w:t>
      </w:r>
      <w:r w:rsidR="00536252">
        <w:rPr>
          <w:rStyle w:val="nfasis"/>
          <w:rFonts w:ascii="Century Gothic" w:hAnsi="Century Gothic" w:cstheme="minorHAnsi"/>
          <w:i w:val="0"/>
          <w:lang w:val="es-CO"/>
        </w:rPr>
        <w:t xml:space="preserve">; cuyo texto dice: </w:t>
      </w:r>
      <w:r w:rsidR="00536252" w:rsidRPr="00536252">
        <w:rPr>
          <w:rStyle w:val="nfasis"/>
          <w:rFonts w:ascii="Century Gothic" w:hAnsi="Century Gothic" w:cstheme="minorHAnsi"/>
          <w:i w:val="0"/>
          <w:lang w:val="es-CO"/>
        </w:rPr>
        <w:t>“</w:t>
      </w:r>
      <w:r w:rsidR="00536252" w:rsidRPr="00536252">
        <w:rPr>
          <w:rFonts w:ascii="Arial" w:hAnsi="Arial" w:cs="Arial"/>
          <w:color w:val="333333"/>
          <w:sz w:val="25"/>
          <w:szCs w:val="25"/>
          <w:shd w:val="clear" w:color="auto" w:fill="FFFFFF"/>
        </w:rPr>
        <w:t>Aprobar las adiciones al presupuesto vigente, así como los traslados presupuestales que afecten el mismo”.</w:t>
      </w:r>
    </w:p>
    <w:p w14:paraId="58BAA671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27AA7B8C" w14:textId="4903B0B9" w:rsidR="004F114A" w:rsidRDefault="004F114A" w:rsidP="00106866">
      <w:pPr>
        <w:jc w:val="both"/>
        <w:rPr>
          <w:rFonts w:ascii="Century Gothic" w:hAnsi="Century Gothic" w:cstheme="minorHAnsi"/>
          <w:lang w:val="es-CO"/>
        </w:rPr>
      </w:pPr>
      <w:r w:rsidRPr="004F114A">
        <w:rPr>
          <w:rFonts w:ascii="Century Gothic" w:hAnsi="Century Gothic" w:cstheme="minorHAnsi"/>
          <w:lang w:val="es-CO"/>
        </w:rPr>
        <w:t xml:space="preserve">e-Que </w:t>
      </w:r>
      <w:r w:rsidR="00106866">
        <w:rPr>
          <w:rFonts w:ascii="Century Gothic" w:hAnsi="Century Gothic" w:cstheme="minorHAnsi"/>
          <w:lang w:val="es-CO"/>
        </w:rPr>
        <w:t>una vez realizada la etapa de análisis de precios del mercado para la adquisición de equipo y mobiliario y atendiendo la dispo</w:t>
      </w:r>
      <w:r w:rsidR="00E06094">
        <w:rPr>
          <w:rFonts w:ascii="Century Gothic" w:hAnsi="Century Gothic" w:cstheme="minorHAnsi"/>
          <w:lang w:val="es-CO"/>
        </w:rPr>
        <w:t>n</w:t>
      </w:r>
      <w:r w:rsidR="00106866">
        <w:rPr>
          <w:rFonts w:ascii="Century Gothic" w:hAnsi="Century Gothic" w:cstheme="minorHAnsi"/>
          <w:lang w:val="es-CO"/>
        </w:rPr>
        <w:t>i</w:t>
      </w:r>
      <w:r w:rsidR="00E06094">
        <w:rPr>
          <w:rFonts w:ascii="Century Gothic" w:hAnsi="Century Gothic" w:cstheme="minorHAnsi"/>
          <w:lang w:val="es-CO"/>
        </w:rPr>
        <w:t>bi</w:t>
      </w:r>
      <w:r w:rsidR="00106866">
        <w:rPr>
          <w:rFonts w:ascii="Century Gothic" w:hAnsi="Century Gothic" w:cstheme="minorHAnsi"/>
          <w:lang w:val="es-CO"/>
        </w:rPr>
        <w:t>lidad de recursos en la</w:t>
      </w:r>
      <w:r w:rsidR="00E06094">
        <w:rPr>
          <w:rFonts w:ascii="Century Gothic" w:hAnsi="Century Gothic" w:cstheme="minorHAnsi"/>
          <w:lang w:val="es-CO"/>
        </w:rPr>
        <w:t>s</w:t>
      </w:r>
      <w:r w:rsidR="00106866">
        <w:rPr>
          <w:rFonts w:ascii="Century Gothic" w:hAnsi="Century Gothic" w:cstheme="minorHAnsi"/>
          <w:lang w:val="es-CO"/>
        </w:rPr>
        <w:t xml:space="preserve"> diferentes fuentes que conforman el presupuesto, es necesario hacer traslado de recursos para acreditar el rubro otros muebles.</w:t>
      </w:r>
    </w:p>
    <w:p w14:paraId="46C53DBC" w14:textId="17DE3E80" w:rsidR="002D391F" w:rsidRDefault="002D391F" w:rsidP="004F114A">
      <w:pPr>
        <w:jc w:val="both"/>
        <w:rPr>
          <w:rFonts w:ascii="Century Gothic" w:hAnsi="Century Gothic" w:cstheme="minorHAnsi"/>
          <w:lang w:val="es-CO"/>
        </w:rPr>
      </w:pPr>
    </w:p>
    <w:p w14:paraId="428A9C16" w14:textId="4A87B0C2" w:rsidR="004F114A" w:rsidRPr="004F114A" w:rsidRDefault="00106866" w:rsidP="004F114A">
      <w:pPr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>f</w:t>
      </w:r>
      <w:r w:rsidR="002D391F">
        <w:rPr>
          <w:rFonts w:ascii="Century Gothic" w:hAnsi="Century Gothic" w:cstheme="minorHAnsi"/>
          <w:lang w:val="es-CO"/>
        </w:rPr>
        <w:t xml:space="preserve">- </w:t>
      </w:r>
      <w:r w:rsidR="004F114A" w:rsidRPr="004F114A">
        <w:rPr>
          <w:rFonts w:ascii="Century Gothic" w:hAnsi="Century Gothic" w:cstheme="minorHAnsi"/>
          <w:lang w:val="es-CO"/>
        </w:rPr>
        <w:t xml:space="preserve">Que mediante acta No </w:t>
      </w:r>
      <w:r w:rsidR="00E06094">
        <w:rPr>
          <w:rFonts w:ascii="Century Gothic" w:hAnsi="Century Gothic" w:cstheme="minorHAnsi"/>
          <w:lang w:val="es-CO"/>
        </w:rPr>
        <w:t>141</w:t>
      </w:r>
      <w:r w:rsidR="004F114A" w:rsidRPr="004F114A">
        <w:rPr>
          <w:rFonts w:ascii="Century Gothic" w:hAnsi="Century Gothic" w:cstheme="minorHAnsi"/>
          <w:lang w:val="es-CO"/>
        </w:rPr>
        <w:t xml:space="preserve"> de</w:t>
      </w:r>
      <w:r w:rsidR="00E06094">
        <w:rPr>
          <w:rFonts w:ascii="Century Gothic" w:hAnsi="Century Gothic" w:cstheme="minorHAnsi"/>
          <w:lang w:val="es-CO"/>
        </w:rPr>
        <w:t xml:space="preserve"> 09 de abril </w:t>
      </w:r>
      <w:r w:rsidR="004F114A" w:rsidRPr="004F114A">
        <w:rPr>
          <w:rFonts w:ascii="Century Gothic" w:hAnsi="Century Gothic" w:cstheme="minorHAnsi"/>
          <w:lang w:val="es-CO"/>
        </w:rPr>
        <w:t xml:space="preserve">2025 el Consejo Directivo de la Institución aprobó la modificación </w:t>
      </w:r>
      <w:r>
        <w:rPr>
          <w:rFonts w:ascii="Century Gothic" w:hAnsi="Century Gothic" w:cstheme="minorHAnsi"/>
          <w:lang w:val="es-CO"/>
        </w:rPr>
        <w:t xml:space="preserve">y </w:t>
      </w:r>
      <w:r w:rsidR="004F114A" w:rsidRPr="004F114A">
        <w:rPr>
          <w:rFonts w:ascii="Century Gothic" w:hAnsi="Century Gothic" w:cstheme="minorHAnsi"/>
          <w:lang w:val="es-CO"/>
        </w:rPr>
        <w:t>distribución de los recursos por rubros presupuestales incluidos en el plan anual de adquisiciones, de acuerdo a las necesidades actuales del año.</w:t>
      </w:r>
    </w:p>
    <w:p w14:paraId="7EA6874E" w14:textId="77777777" w:rsidR="004F114A" w:rsidRDefault="004F114A" w:rsidP="004F114A">
      <w:pPr>
        <w:jc w:val="both"/>
        <w:rPr>
          <w:rFonts w:ascii="Century Gothic" w:hAnsi="Century Gothic" w:cstheme="minorHAnsi"/>
          <w:lang w:val="es-CO"/>
        </w:rPr>
      </w:pPr>
    </w:p>
    <w:p w14:paraId="1D7AB8CE" w14:textId="6823CF47" w:rsidR="00EA4CC8" w:rsidRPr="009150DF" w:rsidRDefault="004F114A" w:rsidP="004F114A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4F114A">
        <w:rPr>
          <w:rFonts w:ascii="Century Gothic" w:hAnsi="Century Gothic" w:cstheme="minorHAnsi"/>
          <w:lang w:val="es-CO"/>
        </w:rPr>
        <w:t>Que</w:t>
      </w:r>
      <w:r>
        <w:rPr>
          <w:rFonts w:ascii="Century Gothic" w:hAnsi="Century Gothic" w:cstheme="minorHAnsi"/>
          <w:lang w:val="es-CO"/>
        </w:rPr>
        <w:t>,</w:t>
      </w:r>
      <w:r w:rsidRPr="004F114A">
        <w:rPr>
          <w:rFonts w:ascii="Century Gothic" w:hAnsi="Century Gothic" w:cstheme="minorHAnsi"/>
          <w:lang w:val="es-CO"/>
        </w:rPr>
        <w:t xml:space="preserve"> en virtud de lo anteriormente expuesto,</w:t>
      </w:r>
    </w:p>
    <w:p w14:paraId="37B2F9BE" w14:textId="77777777" w:rsidR="004F114A" w:rsidRDefault="004F114A" w:rsidP="00F36627">
      <w:pPr>
        <w:jc w:val="center"/>
        <w:rPr>
          <w:rFonts w:ascii="Century Gothic" w:hAnsi="Century Gothic" w:cstheme="minorHAnsi"/>
          <w:b/>
          <w:lang w:val="es-CO"/>
        </w:rPr>
      </w:pPr>
    </w:p>
    <w:p w14:paraId="0C4C21E0" w14:textId="55A1B53E" w:rsidR="00F36627" w:rsidRPr="009150DF" w:rsidRDefault="00F36627" w:rsidP="00F36627">
      <w:pPr>
        <w:jc w:val="center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ACUERDA:</w:t>
      </w:r>
    </w:p>
    <w:p w14:paraId="5FBC522F" w14:textId="77777777" w:rsidR="00F36627" w:rsidRPr="009150DF" w:rsidRDefault="00F36627" w:rsidP="00F36627">
      <w:pPr>
        <w:rPr>
          <w:rFonts w:ascii="Century Gothic" w:hAnsi="Century Gothic" w:cstheme="minorHAnsi"/>
          <w:lang w:val="es-CO"/>
        </w:rPr>
      </w:pPr>
    </w:p>
    <w:p w14:paraId="56A9BDAC" w14:textId="4477A92A" w:rsidR="00F36627" w:rsidRPr="009150DF" w:rsidRDefault="00AD3D31" w:rsidP="00F36627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lastRenderedPageBreak/>
        <w:t>ARTÍCULO</w:t>
      </w:r>
      <w:r w:rsidR="00F36627" w:rsidRPr="009150DF">
        <w:rPr>
          <w:rFonts w:ascii="Century Gothic" w:hAnsi="Century Gothic" w:cstheme="minorHAnsi"/>
          <w:b/>
          <w:lang w:val="es-CO"/>
        </w:rPr>
        <w:t xml:space="preserve"> PRIMERO</w:t>
      </w:r>
      <w:r w:rsidR="00062F23" w:rsidRPr="009150DF">
        <w:rPr>
          <w:rFonts w:ascii="Century Gothic" w:hAnsi="Century Gothic" w:cstheme="minorHAnsi"/>
          <w:lang w:val="es-CO"/>
        </w:rPr>
        <w:t>: Autorizar</w:t>
      </w:r>
      <w:r w:rsidR="00F36627" w:rsidRPr="009150DF">
        <w:rPr>
          <w:rFonts w:ascii="Century Gothic" w:hAnsi="Century Gothic" w:cstheme="minorHAnsi"/>
          <w:lang w:val="es-CO"/>
        </w:rPr>
        <w:t xml:space="preserve"> </w:t>
      </w:r>
      <w:r w:rsidR="008C7D85" w:rsidRPr="009150DF">
        <w:rPr>
          <w:rFonts w:ascii="Century Gothic" w:hAnsi="Century Gothic" w:cstheme="minorHAnsi"/>
          <w:lang w:val="es-CO"/>
        </w:rPr>
        <w:t xml:space="preserve">los ajustes </w:t>
      </w:r>
      <w:r w:rsidR="00F36627" w:rsidRPr="009150DF">
        <w:rPr>
          <w:rFonts w:ascii="Century Gothic" w:hAnsi="Century Gothic" w:cstheme="minorHAnsi"/>
          <w:lang w:val="es-CO"/>
        </w:rPr>
        <w:t xml:space="preserve">dentro del presupuesto de gastos de la institución para la vigencia fiscal comprendida entre el </w:t>
      </w:r>
      <w:r w:rsidR="00853AD4" w:rsidRPr="009150DF">
        <w:rPr>
          <w:rFonts w:ascii="Century Gothic" w:hAnsi="Century Gothic" w:cstheme="minorHAnsi"/>
          <w:lang w:val="es-CO"/>
        </w:rPr>
        <w:t>1</w:t>
      </w:r>
      <w:r w:rsidR="003A34D1">
        <w:rPr>
          <w:rFonts w:ascii="Century Gothic" w:hAnsi="Century Gothic" w:cstheme="minorHAnsi"/>
          <w:lang w:val="es-CO"/>
        </w:rPr>
        <w:t xml:space="preserve">º de enero al 31 de diciembre </w:t>
      </w:r>
      <w:r w:rsidR="00853AD4" w:rsidRPr="009150DF">
        <w:rPr>
          <w:rFonts w:ascii="Century Gothic" w:hAnsi="Century Gothic" w:cstheme="minorHAnsi"/>
          <w:lang w:val="es-CO"/>
        </w:rPr>
        <w:t>de 202</w:t>
      </w:r>
      <w:r w:rsidR="002A2271">
        <w:rPr>
          <w:rFonts w:ascii="Century Gothic" w:hAnsi="Century Gothic" w:cstheme="minorHAnsi"/>
          <w:lang w:val="es-CO"/>
        </w:rPr>
        <w:t>5</w:t>
      </w:r>
      <w:r w:rsidR="00853AD4" w:rsidRPr="009150DF">
        <w:rPr>
          <w:rFonts w:ascii="Century Gothic" w:hAnsi="Century Gothic" w:cstheme="minorHAnsi"/>
          <w:lang w:val="es-CO"/>
        </w:rPr>
        <w:t xml:space="preserve">, </w:t>
      </w:r>
      <w:r w:rsidR="00106866">
        <w:rPr>
          <w:rFonts w:ascii="Century Gothic" w:hAnsi="Century Gothic" w:cstheme="minorHAnsi"/>
          <w:lang w:val="es-CO"/>
        </w:rPr>
        <w:t>trasladando en la fuente</w:t>
      </w:r>
      <w:r w:rsidR="004F114A">
        <w:rPr>
          <w:rFonts w:ascii="Century Gothic" w:hAnsi="Century Gothic" w:cstheme="minorHAnsi"/>
          <w:lang w:val="es-CO"/>
        </w:rPr>
        <w:t xml:space="preserve"> TRANSFERENCIAS NACIONALES DE GRATUIDAD EDUCATIVA, la suma de </w:t>
      </w:r>
      <w:r w:rsidR="00040F66" w:rsidRPr="009150DF">
        <w:rPr>
          <w:rFonts w:ascii="Century Gothic" w:hAnsi="Century Gothic" w:cstheme="minorHAnsi"/>
          <w:lang w:val="es-CO"/>
        </w:rPr>
        <w:t xml:space="preserve"> </w:t>
      </w:r>
      <w:r w:rsidR="00853AD4" w:rsidRPr="009150DF">
        <w:rPr>
          <w:rFonts w:ascii="Century Gothic" w:hAnsi="Century Gothic" w:cstheme="minorHAnsi"/>
          <w:lang w:val="es-CO"/>
        </w:rPr>
        <w:t xml:space="preserve"> </w:t>
      </w:r>
      <w:r w:rsidR="00EA3F61">
        <w:rPr>
          <w:rFonts w:ascii="Century Gothic" w:hAnsi="Century Gothic" w:cstheme="minorHAnsi"/>
          <w:lang w:val="es-CO"/>
        </w:rPr>
        <w:t xml:space="preserve">CUATRO MILLONES DOSCIENTOS VEINTE MIL SEISCIENTOS CUARENTA Y CUATRO </w:t>
      </w:r>
      <w:r w:rsidR="004F114A" w:rsidRPr="004F114A">
        <w:rPr>
          <w:rFonts w:ascii="Century Gothic" w:hAnsi="Century Gothic" w:cstheme="minorHAnsi"/>
          <w:lang w:val="es-CO"/>
        </w:rPr>
        <w:t>PESOS ($</w:t>
      </w:r>
      <w:r w:rsidR="00EA3F61">
        <w:rPr>
          <w:rFonts w:ascii="Century Gothic" w:hAnsi="Century Gothic" w:cstheme="minorHAnsi"/>
          <w:lang w:val="es-CO"/>
        </w:rPr>
        <w:t>4.220.644</w:t>
      </w:r>
      <w:r w:rsidR="004F114A">
        <w:rPr>
          <w:rFonts w:ascii="Century Gothic" w:hAnsi="Century Gothic" w:cstheme="minorHAnsi"/>
          <w:lang w:val="es-CO"/>
        </w:rPr>
        <w:t xml:space="preserve">) </w:t>
      </w:r>
      <w:r w:rsidR="004F114A" w:rsidRPr="004F114A">
        <w:rPr>
          <w:rFonts w:ascii="Century Gothic" w:hAnsi="Century Gothic" w:cstheme="minorHAnsi"/>
          <w:lang w:val="es-CO"/>
        </w:rPr>
        <w:t>MCTE</w:t>
      </w:r>
      <w:r w:rsidR="006B42A6">
        <w:rPr>
          <w:rFonts w:ascii="Century Gothic" w:hAnsi="Century Gothic" w:cstheme="minorHAnsi"/>
          <w:lang w:val="es-CO"/>
        </w:rPr>
        <w:t>.</w:t>
      </w:r>
      <w:r w:rsidR="008C7D85" w:rsidRPr="009150DF">
        <w:rPr>
          <w:rFonts w:ascii="Century Gothic" w:hAnsi="Century Gothic" w:cstheme="minorHAnsi"/>
          <w:lang w:val="es-CO"/>
        </w:rPr>
        <w:t xml:space="preserve"> </w:t>
      </w:r>
      <w:r w:rsidR="00106866">
        <w:rPr>
          <w:rFonts w:ascii="Century Gothic" w:hAnsi="Century Gothic" w:cstheme="minorHAnsi"/>
          <w:lang w:val="es-CO"/>
        </w:rPr>
        <w:t>De acuerdo al</w:t>
      </w:r>
      <w:r w:rsidR="008C7D85" w:rsidRPr="009150DF">
        <w:rPr>
          <w:rFonts w:ascii="Century Gothic" w:hAnsi="Century Gothic" w:cstheme="minorHAnsi"/>
          <w:lang w:val="es-CO"/>
        </w:rPr>
        <w:t xml:space="preserve"> siguiente detalle</w:t>
      </w:r>
      <w:r w:rsidR="00F36627" w:rsidRPr="009150DF">
        <w:rPr>
          <w:rFonts w:ascii="Century Gothic" w:hAnsi="Century Gothic" w:cstheme="minorHAnsi"/>
          <w:lang w:val="es-CO"/>
        </w:rPr>
        <w:t>:</w:t>
      </w:r>
    </w:p>
    <w:p w14:paraId="2FF58C61" w14:textId="77777777" w:rsidR="00BA6AD9" w:rsidRPr="009150DF" w:rsidRDefault="00BA6AD9" w:rsidP="00466E34">
      <w:pPr>
        <w:jc w:val="both"/>
        <w:rPr>
          <w:rFonts w:ascii="Century Gothic" w:hAnsi="Century Gothic" w:cstheme="minorHAnsi"/>
          <w:b/>
          <w:lang w:val="es-CO"/>
        </w:rPr>
      </w:pPr>
    </w:p>
    <w:p w14:paraId="40300BB4" w14:textId="77777777" w:rsidR="007A65B8" w:rsidRPr="009150DF" w:rsidRDefault="007A65B8" w:rsidP="007A65B8">
      <w:pPr>
        <w:jc w:val="both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PRESUPUESTO DE GASTOS.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3325"/>
        <w:gridCol w:w="1736"/>
        <w:gridCol w:w="1633"/>
      </w:tblGrid>
      <w:tr w:rsidR="00106866" w:rsidRPr="006B42A6" w14:paraId="61741D55" w14:textId="5D92A54C" w:rsidTr="00106866">
        <w:trPr>
          <w:trHeight w:val="300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532D86" w14:textId="77777777" w:rsidR="00106866" w:rsidRPr="006B42A6" w:rsidRDefault="00106866" w:rsidP="006B42A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B42A6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CODIGO PRESUPUESTAL </w:t>
            </w:r>
          </w:p>
        </w:tc>
        <w:tc>
          <w:tcPr>
            <w:tcW w:w="1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0610AC" w14:textId="77777777" w:rsidR="00106866" w:rsidRPr="006B42A6" w:rsidRDefault="00106866" w:rsidP="006B42A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B42A6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CONCEPTO 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BA69A8" w14:textId="6DCF769E" w:rsidR="00106866" w:rsidRPr="006B42A6" w:rsidRDefault="00106866" w:rsidP="006B42A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CONTRACREDITO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5DDC3484" w14:textId="4B067220" w:rsidR="00106866" w:rsidRPr="006B42A6" w:rsidRDefault="00106866" w:rsidP="006B42A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CREDITO</w:t>
            </w:r>
          </w:p>
        </w:tc>
      </w:tr>
      <w:tr w:rsidR="00106866" w:rsidRPr="006B42A6" w14:paraId="3B4FA32C" w14:textId="63D798F9" w:rsidTr="00106866">
        <w:trPr>
          <w:trHeight w:val="300"/>
        </w:trPr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34C6" w14:textId="7BE972F3" w:rsidR="00106866" w:rsidRPr="006B42A6" w:rsidRDefault="00106866" w:rsidP="00106866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2.1.2.02.01.003.02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32D" w14:textId="04099B70" w:rsidR="00106866" w:rsidRPr="006B42A6" w:rsidRDefault="00106866" w:rsidP="00106866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Insumos y materiales para funcionamiento-CONPES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879F" w14:textId="35C311A3" w:rsidR="00106866" w:rsidRPr="006B42A6" w:rsidRDefault="00106866" w:rsidP="00106866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$4.220.644 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46D4F" w14:textId="77777777" w:rsidR="00106866" w:rsidRPr="006B42A6" w:rsidRDefault="00106866" w:rsidP="00106866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106866" w:rsidRPr="006B42A6" w14:paraId="63D6E67A" w14:textId="67B25C45" w:rsidTr="00106866">
        <w:trPr>
          <w:trHeight w:val="300"/>
        </w:trPr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4B4F" w14:textId="497B8728" w:rsidR="00106866" w:rsidRPr="006B42A6" w:rsidRDefault="00106866" w:rsidP="00106866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2.1.2.01.01.003.05.02.02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B88B" w14:textId="598092A2" w:rsidR="00106866" w:rsidRPr="006B42A6" w:rsidRDefault="00106866" w:rsidP="00106866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Equipo y aparatos de radio, televisión y comunicaciones -CONPES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71BB" w14:textId="5646BDE6" w:rsidR="00106866" w:rsidRPr="006B42A6" w:rsidRDefault="00106866" w:rsidP="00106866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AA479" w14:textId="48816F0D" w:rsidR="00106866" w:rsidRDefault="00106866" w:rsidP="00106866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684F1E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$</w:t>
            </w: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2.470.644</w:t>
            </w:r>
            <w:r w:rsidRPr="00684F1E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106866" w:rsidRPr="006B42A6" w14:paraId="08423EC4" w14:textId="21D494E5" w:rsidTr="00106866">
        <w:trPr>
          <w:trHeight w:val="540"/>
        </w:trPr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A29A" w14:textId="083E2FA5" w:rsidR="00106866" w:rsidRPr="006B42A6" w:rsidRDefault="00106866" w:rsidP="00106866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2.1.2.01.01.004.01.01.04.0</w:t>
            </w:r>
            <w:r w:rsidR="00260D4B">
              <w:rPr>
                <w:rFonts w:ascii="Century Gothic" w:hAnsi="Century Gothic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E30F" w14:textId="675A7118" w:rsidR="00106866" w:rsidRPr="006B42A6" w:rsidRDefault="00106866" w:rsidP="00106866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Otros muebles N.C.P</w:t>
            </w:r>
            <w:r w:rsidR="00B550AF">
              <w:rPr>
                <w:rFonts w:ascii="Century Gothic" w:hAnsi="Century Gothic" w:cs="Calibri"/>
                <w:color w:val="000000"/>
                <w:sz w:val="16"/>
                <w:szCs w:val="16"/>
              </w:rPr>
              <w:t>(No Clasificados Previamente)</w:t>
            </w: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.-</w:t>
            </w:r>
            <w:r w:rsidR="00260D4B">
              <w:rPr>
                <w:rFonts w:ascii="Century Gothic" w:hAnsi="Century Gothic" w:cs="Calibri"/>
                <w:color w:val="000000"/>
                <w:sz w:val="16"/>
                <w:szCs w:val="16"/>
              </w:rPr>
              <w:t>CONPES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8CB0" w14:textId="72EFF9A4" w:rsidR="00106866" w:rsidRPr="006B42A6" w:rsidRDefault="00106866" w:rsidP="00106866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0CDFC" w14:textId="50235AEA" w:rsidR="00106866" w:rsidRPr="006B42A6" w:rsidRDefault="00106866" w:rsidP="00106866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684F1E">
              <w:rPr>
                <w:rFonts w:ascii="Century Gothic" w:hAnsi="Century Gothic" w:cs="Calibri"/>
                <w:color w:val="000000"/>
                <w:sz w:val="16"/>
                <w:szCs w:val="16"/>
              </w:rPr>
              <w:t>$</w:t>
            </w: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1.750.000</w:t>
            </w:r>
          </w:p>
        </w:tc>
      </w:tr>
      <w:tr w:rsidR="00106866" w:rsidRPr="006B42A6" w14:paraId="429441A6" w14:textId="06F4DD36" w:rsidTr="00FD5B2E">
        <w:trPr>
          <w:trHeight w:val="300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BA93" w14:textId="77777777" w:rsidR="00106866" w:rsidRPr="006B42A6" w:rsidRDefault="00106866" w:rsidP="00106866">
            <w:pPr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9363" w14:textId="77777777" w:rsidR="00106866" w:rsidRPr="006B42A6" w:rsidRDefault="00106866" w:rsidP="001068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B4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TOTAL 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0BB8" w14:textId="6742C1DD" w:rsidR="00106866" w:rsidRPr="006B42A6" w:rsidRDefault="00106866" w:rsidP="00106866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847D9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$4.220.644 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1464" w14:textId="07143652" w:rsidR="00106866" w:rsidRDefault="00106866" w:rsidP="00106866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847D9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$4.220.644 </w:t>
            </w:r>
          </w:p>
        </w:tc>
      </w:tr>
    </w:tbl>
    <w:p w14:paraId="4824A08D" w14:textId="77777777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</w:p>
    <w:p w14:paraId="3D8A38AC" w14:textId="77777777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</w:p>
    <w:p w14:paraId="4C3968F1" w14:textId="4534F6B6" w:rsidR="00BA7BAB" w:rsidRPr="009150DF" w:rsidRDefault="00466E34" w:rsidP="00466E34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 xml:space="preserve">ARTICULO </w:t>
      </w:r>
      <w:r w:rsidR="00AB7CC4" w:rsidRPr="009150DF">
        <w:rPr>
          <w:rFonts w:ascii="Century Gothic" w:hAnsi="Century Gothic" w:cstheme="minorHAnsi"/>
          <w:b/>
          <w:lang w:val="es-CO"/>
        </w:rPr>
        <w:t>SEGUNDO</w:t>
      </w:r>
      <w:r w:rsidRPr="009150DF">
        <w:rPr>
          <w:rFonts w:ascii="Century Gothic" w:hAnsi="Century Gothic" w:cstheme="minorHAnsi"/>
          <w:b/>
          <w:lang w:val="es-CO"/>
        </w:rPr>
        <w:t>.</w:t>
      </w:r>
      <w:r w:rsidR="00171907" w:rsidRPr="009150DF">
        <w:rPr>
          <w:rFonts w:ascii="Century Gothic" w:hAnsi="Century Gothic" w:cstheme="minorHAnsi"/>
          <w:lang w:val="es-CO"/>
        </w:rPr>
        <w:t xml:space="preserve"> </w:t>
      </w:r>
      <w:r w:rsidR="00545E9B" w:rsidRPr="009150DF">
        <w:rPr>
          <w:rFonts w:ascii="Century Gothic" w:hAnsi="Century Gothic" w:cstheme="minorHAnsi"/>
          <w:lang w:val="es-CO"/>
        </w:rPr>
        <w:t>De acuerdo a lo establecido en los artículos anteriores, apruébense las modificaciones  al Plan Anual Mensualizado de Caja PAC y Plan Anual de Adquisiciones para(PAA) para  la vigencia fiscal del año 202</w:t>
      </w:r>
      <w:r w:rsidR="00C47682">
        <w:rPr>
          <w:rFonts w:ascii="Century Gothic" w:hAnsi="Century Gothic" w:cstheme="minorHAnsi"/>
          <w:lang w:val="es-CO"/>
        </w:rPr>
        <w:t>5</w:t>
      </w:r>
      <w:r w:rsidR="00545E9B" w:rsidRPr="009150DF">
        <w:rPr>
          <w:rFonts w:ascii="Century Gothic" w:hAnsi="Century Gothic" w:cstheme="minorHAnsi"/>
          <w:lang w:val="es-CO"/>
        </w:rPr>
        <w:t>, como instrumento de planeación que determina la disponibilidad mensual de recursos que servirá de base para efectuar los pagos correspondientes a los compromisos adquiridos y cuya sumatoria de las apropiaciones debe ser igual a lo planeado en el Presupuesto de Ingresos y Gastos del Fondo de Servicios Educativos.</w:t>
      </w:r>
    </w:p>
    <w:tbl>
      <w:tblPr>
        <w:tblW w:w="867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300"/>
      </w:tblGrid>
      <w:tr w:rsidR="00C47682" w:rsidRPr="006B42A6" w14:paraId="12C184D2" w14:textId="77777777" w:rsidTr="00C47682">
        <w:trPr>
          <w:trHeight w:val="246"/>
          <w:tblHeader/>
        </w:trPr>
        <w:tc>
          <w:tcPr>
            <w:tcW w:w="6374" w:type="dxa"/>
            <w:shd w:val="clear" w:color="auto" w:fill="D6E3BC" w:themeFill="accent3" w:themeFillTint="66"/>
            <w:vAlign w:val="center"/>
            <w:hideMark/>
          </w:tcPr>
          <w:p w14:paraId="7C7F843C" w14:textId="77777777" w:rsidR="00C47682" w:rsidRPr="006B42A6" w:rsidRDefault="00C47682" w:rsidP="009150D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lang w:val="es-419" w:eastAsia="es-419"/>
              </w:rPr>
            </w:pPr>
            <w:r w:rsidRPr="006B42A6">
              <w:rPr>
                <w:rFonts w:ascii="Century Gothic" w:hAnsi="Century Gothic" w:cs="Calibri"/>
                <w:b/>
                <w:bCs/>
                <w:color w:val="000000"/>
                <w:lang w:val="es-419" w:eastAsia="es-419"/>
              </w:rPr>
              <w:t>Descripción</w:t>
            </w:r>
          </w:p>
        </w:tc>
        <w:tc>
          <w:tcPr>
            <w:tcW w:w="2300" w:type="dxa"/>
            <w:shd w:val="clear" w:color="auto" w:fill="D6E3BC" w:themeFill="accent3" w:themeFillTint="66"/>
            <w:vAlign w:val="center"/>
            <w:hideMark/>
          </w:tcPr>
          <w:p w14:paraId="4300DA3F" w14:textId="6C807C5A" w:rsidR="00C47682" w:rsidRPr="006B42A6" w:rsidRDefault="00C47682" w:rsidP="009150D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lang w:val="es-419" w:eastAsia="es-419"/>
              </w:rPr>
            </w:pPr>
            <w:r w:rsidRPr="006B42A6">
              <w:rPr>
                <w:rFonts w:ascii="Century Gothic" w:hAnsi="Century Gothic" w:cs="Calibri"/>
                <w:b/>
                <w:bCs/>
                <w:color w:val="000000"/>
                <w:lang w:val="es-419" w:eastAsia="es-419"/>
              </w:rPr>
              <w:t>VALOR</w:t>
            </w:r>
          </w:p>
        </w:tc>
      </w:tr>
      <w:tr w:rsidR="00EA3F61" w:rsidRPr="006B42A6" w14:paraId="57A286DF" w14:textId="77777777" w:rsidTr="0093005E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130CA5A1" w14:textId="589B98F7" w:rsidR="00EA3F61" w:rsidRPr="006B42A6" w:rsidRDefault="00EA3F61" w:rsidP="00EA3F61">
            <w:pPr>
              <w:jc w:val="both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COMPRA DE VENTILADORES</w:t>
            </w:r>
          </w:p>
        </w:tc>
        <w:tc>
          <w:tcPr>
            <w:tcW w:w="2300" w:type="dxa"/>
            <w:shd w:val="clear" w:color="auto" w:fill="auto"/>
          </w:tcPr>
          <w:p w14:paraId="673AD8F8" w14:textId="6A87E323" w:rsidR="00EA3F61" w:rsidRPr="006B42A6" w:rsidRDefault="00EA3F61" w:rsidP="00EA3F61">
            <w:pPr>
              <w:rPr>
                <w:rFonts w:ascii="Century Gothic" w:hAnsi="Century Gothic" w:cs="Calibri"/>
                <w:color w:val="000000"/>
              </w:rPr>
            </w:pPr>
            <w:r w:rsidRPr="00684F1E">
              <w:rPr>
                <w:rFonts w:ascii="Century Gothic" w:hAnsi="Century Gothic" w:cs="Calibri"/>
                <w:color w:val="000000"/>
                <w:sz w:val="16"/>
                <w:szCs w:val="16"/>
              </w:rPr>
              <w:t>$</w:t>
            </w: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1.750.000</w:t>
            </w:r>
          </w:p>
        </w:tc>
      </w:tr>
      <w:tr w:rsidR="00EA3F61" w:rsidRPr="006B42A6" w14:paraId="646660EA" w14:textId="77777777" w:rsidTr="0093005E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6B05AE00" w14:textId="201D9A08" w:rsidR="00EA3F61" w:rsidRDefault="00EA3F61" w:rsidP="00EA3F61">
            <w:pPr>
              <w:jc w:val="both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COMPRA DE EQUIPO TECNOLOGICO</w:t>
            </w:r>
          </w:p>
        </w:tc>
        <w:tc>
          <w:tcPr>
            <w:tcW w:w="2300" w:type="dxa"/>
            <w:shd w:val="clear" w:color="auto" w:fill="auto"/>
          </w:tcPr>
          <w:p w14:paraId="53F12006" w14:textId="7F0E7E08" w:rsidR="00EA3F61" w:rsidRDefault="00EA3F61" w:rsidP="00EA3F61">
            <w:pPr>
              <w:rPr>
                <w:rFonts w:ascii="Century Gothic" w:hAnsi="Century Gothic" w:cs="Calibri"/>
                <w:color w:val="000000"/>
                <w:lang w:val="es-CO" w:eastAsia="es-CO"/>
              </w:rPr>
            </w:pPr>
            <w:r w:rsidRPr="00A847D9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  <w:r w:rsidRPr="00684F1E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$</w:t>
            </w: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>2.470.644</w:t>
            </w:r>
          </w:p>
        </w:tc>
      </w:tr>
    </w:tbl>
    <w:p w14:paraId="1BD15308" w14:textId="3821F196" w:rsidR="009150DF" w:rsidRDefault="009150DF" w:rsidP="00466E34">
      <w:pPr>
        <w:jc w:val="both"/>
        <w:rPr>
          <w:rFonts w:ascii="Century Gothic" w:hAnsi="Century Gothic" w:cstheme="minorHAnsi"/>
          <w:lang w:val="es-CO"/>
        </w:rPr>
      </w:pPr>
    </w:p>
    <w:p w14:paraId="525A0A11" w14:textId="3EC5714D" w:rsidR="0045299C" w:rsidRPr="0045299C" w:rsidRDefault="006B42A6" w:rsidP="006B42A6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</w:rPr>
        <w:t>ARTICULO TERCERO</w:t>
      </w:r>
      <w:r w:rsidRPr="00DD039C">
        <w:rPr>
          <w:rFonts w:ascii="Century Gothic" w:hAnsi="Century Gothic" w:cstheme="minorHAnsi"/>
          <w:b/>
        </w:rPr>
        <w:t>.</w:t>
      </w:r>
      <w:r w:rsidRPr="00DD039C">
        <w:rPr>
          <w:rFonts w:ascii="Century Gothic" w:hAnsi="Century Gothic" w:cstheme="minorHAnsi"/>
        </w:rPr>
        <w:t xml:space="preserve"> El presente acuerdo rige a partir de la fecha de su expedición y modifica el acuerdo No. 00</w:t>
      </w:r>
      <w:r>
        <w:rPr>
          <w:rFonts w:ascii="Century Gothic" w:hAnsi="Century Gothic" w:cstheme="minorHAnsi"/>
        </w:rPr>
        <w:t xml:space="preserve">6 </w:t>
      </w:r>
      <w:r w:rsidRPr="00DD039C">
        <w:rPr>
          <w:rFonts w:ascii="Century Gothic" w:hAnsi="Century Gothic" w:cstheme="minorHAnsi"/>
        </w:rPr>
        <w:t>del</w:t>
      </w:r>
      <w:r w:rsidR="00937DAC">
        <w:rPr>
          <w:rFonts w:ascii="Century Gothic" w:hAnsi="Century Gothic" w:cstheme="minorHAnsi"/>
        </w:rPr>
        <w:t xml:space="preserve"> 27 de noviembre del </w:t>
      </w:r>
      <w:r w:rsidRPr="00DD039C">
        <w:rPr>
          <w:rFonts w:ascii="Century Gothic" w:hAnsi="Century Gothic" w:cstheme="minorHAnsi"/>
        </w:rPr>
        <w:t>año 2024.</w:t>
      </w:r>
    </w:p>
    <w:p w14:paraId="50E8D29B" w14:textId="77777777" w:rsidR="0045299C" w:rsidRDefault="0045299C" w:rsidP="006B42A6">
      <w:pPr>
        <w:jc w:val="both"/>
        <w:rPr>
          <w:rFonts w:ascii="Century Gothic" w:hAnsi="Century Gothic" w:cstheme="minorHAnsi"/>
          <w:b/>
        </w:rPr>
      </w:pPr>
    </w:p>
    <w:p w14:paraId="6D32C47D" w14:textId="77777777" w:rsidR="0045299C" w:rsidRDefault="0045299C" w:rsidP="006B42A6">
      <w:pPr>
        <w:jc w:val="both"/>
        <w:rPr>
          <w:rFonts w:ascii="Century Gothic" w:hAnsi="Century Gothic" w:cstheme="minorHAnsi"/>
          <w:b/>
        </w:rPr>
      </w:pPr>
    </w:p>
    <w:p w14:paraId="1AC45C69" w14:textId="77777777" w:rsidR="0045299C" w:rsidRDefault="0045299C" w:rsidP="006B42A6">
      <w:pPr>
        <w:jc w:val="both"/>
        <w:rPr>
          <w:rFonts w:ascii="Century Gothic" w:hAnsi="Century Gothic" w:cstheme="minorHAnsi"/>
          <w:b/>
        </w:rPr>
      </w:pPr>
    </w:p>
    <w:p w14:paraId="162A0270" w14:textId="4FA8D370" w:rsidR="006B42A6" w:rsidRPr="00DD039C" w:rsidRDefault="006B42A6" w:rsidP="006B42A6">
      <w:pPr>
        <w:jc w:val="both"/>
        <w:rPr>
          <w:rFonts w:ascii="Century Gothic" w:hAnsi="Century Gothic" w:cstheme="minorHAnsi"/>
        </w:rPr>
      </w:pPr>
      <w:r w:rsidRPr="00DD039C">
        <w:rPr>
          <w:rFonts w:ascii="Century Gothic" w:hAnsi="Century Gothic" w:cstheme="minorHAnsi"/>
          <w:b/>
        </w:rPr>
        <w:t xml:space="preserve">ARTICULO </w:t>
      </w:r>
      <w:r>
        <w:rPr>
          <w:rFonts w:ascii="Century Gothic" w:hAnsi="Century Gothic" w:cstheme="minorHAnsi"/>
          <w:b/>
        </w:rPr>
        <w:t>CUARTO</w:t>
      </w:r>
      <w:r w:rsidRPr="00DD039C">
        <w:rPr>
          <w:rFonts w:ascii="Century Gothic" w:hAnsi="Century Gothic" w:cstheme="minorHAnsi"/>
        </w:rPr>
        <w:t xml:space="preserve">: Envíese copia a pagaduría para lo de su competencia.      </w:t>
      </w:r>
    </w:p>
    <w:p w14:paraId="093DE4DB" w14:textId="77777777" w:rsidR="006B42A6" w:rsidRPr="009150DF" w:rsidRDefault="006B42A6" w:rsidP="00466E34">
      <w:pPr>
        <w:jc w:val="both"/>
        <w:rPr>
          <w:rFonts w:ascii="Century Gothic" w:hAnsi="Century Gothic" w:cstheme="minorHAnsi"/>
          <w:lang w:val="es-CO"/>
        </w:rPr>
      </w:pPr>
    </w:p>
    <w:p w14:paraId="517BD126" w14:textId="77777777" w:rsidR="00AC192A" w:rsidRPr="009150DF" w:rsidRDefault="00AC192A" w:rsidP="00466E34">
      <w:pPr>
        <w:jc w:val="both"/>
        <w:rPr>
          <w:rFonts w:ascii="Century Gothic" w:hAnsi="Century Gothic" w:cstheme="minorHAnsi"/>
          <w:lang w:val="es-CO"/>
        </w:rPr>
      </w:pPr>
    </w:p>
    <w:p w14:paraId="1613725A" w14:textId="77777777" w:rsidR="00E223DF" w:rsidRPr="009150DF" w:rsidRDefault="00E223DF" w:rsidP="00A30579">
      <w:pPr>
        <w:jc w:val="center"/>
        <w:rPr>
          <w:rFonts w:ascii="Century Gothic" w:hAnsi="Century Gothic" w:cstheme="minorHAnsi"/>
          <w:lang w:val="es-CO"/>
        </w:rPr>
      </w:pPr>
    </w:p>
    <w:p w14:paraId="6B49EE78" w14:textId="77777777" w:rsidR="0045299C" w:rsidRDefault="0045299C" w:rsidP="00A30579">
      <w:pPr>
        <w:jc w:val="center"/>
        <w:rPr>
          <w:rFonts w:ascii="Century Gothic" w:hAnsi="Century Gothic" w:cstheme="minorHAnsi"/>
          <w:lang w:val="es-CO"/>
        </w:rPr>
      </w:pPr>
    </w:p>
    <w:p w14:paraId="701D6B8D" w14:textId="77777777" w:rsidR="0045299C" w:rsidRDefault="0045299C" w:rsidP="00A30579">
      <w:pPr>
        <w:jc w:val="center"/>
        <w:rPr>
          <w:rFonts w:ascii="Century Gothic" w:hAnsi="Century Gothic" w:cstheme="minorHAnsi"/>
          <w:lang w:val="es-CO"/>
        </w:rPr>
      </w:pPr>
    </w:p>
    <w:p w14:paraId="170BFAC4" w14:textId="77777777" w:rsidR="0045299C" w:rsidRDefault="0045299C" w:rsidP="00A30579">
      <w:pPr>
        <w:jc w:val="center"/>
        <w:rPr>
          <w:rFonts w:ascii="Century Gothic" w:hAnsi="Century Gothic" w:cstheme="minorHAnsi"/>
          <w:lang w:val="es-CO"/>
        </w:rPr>
      </w:pPr>
    </w:p>
    <w:p w14:paraId="2E11D903" w14:textId="77777777" w:rsidR="0045299C" w:rsidRDefault="0045299C" w:rsidP="00A30579">
      <w:pPr>
        <w:jc w:val="center"/>
        <w:rPr>
          <w:rFonts w:ascii="Century Gothic" w:hAnsi="Century Gothic" w:cstheme="minorHAnsi"/>
          <w:lang w:val="es-CO"/>
        </w:rPr>
      </w:pPr>
    </w:p>
    <w:p w14:paraId="291252CC" w14:textId="77777777" w:rsidR="0045299C" w:rsidRDefault="0045299C" w:rsidP="00A30579">
      <w:pPr>
        <w:jc w:val="center"/>
        <w:rPr>
          <w:rFonts w:ascii="Century Gothic" w:hAnsi="Century Gothic" w:cstheme="minorHAnsi"/>
          <w:lang w:val="es-CO"/>
        </w:rPr>
      </w:pPr>
    </w:p>
    <w:p w14:paraId="5E330F0E" w14:textId="77777777" w:rsidR="0045299C" w:rsidRDefault="0045299C" w:rsidP="00A30579">
      <w:pPr>
        <w:jc w:val="center"/>
        <w:rPr>
          <w:rFonts w:ascii="Century Gothic" w:hAnsi="Century Gothic" w:cstheme="minorHAnsi"/>
          <w:lang w:val="es-CO"/>
        </w:rPr>
      </w:pPr>
    </w:p>
    <w:p w14:paraId="00DC44F7" w14:textId="77777777" w:rsidR="0045299C" w:rsidRDefault="0045299C" w:rsidP="00A30579">
      <w:pPr>
        <w:jc w:val="center"/>
        <w:rPr>
          <w:rFonts w:ascii="Century Gothic" w:hAnsi="Century Gothic" w:cstheme="minorHAnsi"/>
          <w:lang w:val="es-CO"/>
        </w:rPr>
      </w:pPr>
    </w:p>
    <w:p w14:paraId="617CC411" w14:textId="77777777" w:rsidR="0045299C" w:rsidRDefault="0045299C" w:rsidP="00A30579">
      <w:pPr>
        <w:jc w:val="center"/>
        <w:rPr>
          <w:rFonts w:ascii="Century Gothic" w:hAnsi="Century Gothic" w:cstheme="minorHAnsi"/>
          <w:lang w:val="es-CO"/>
        </w:rPr>
      </w:pPr>
    </w:p>
    <w:p w14:paraId="0316AE7B" w14:textId="1D4E576D" w:rsidR="00F36627" w:rsidRPr="009150DF" w:rsidRDefault="00F36627" w:rsidP="00A30579">
      <w:pPr>
        <w:jc w:val="center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lang w:val="es-CO"/>
        </w:rPr>
        <w:lastRenderedPageBreak/>
        <w:t>Comuníquese y Cúmplase</w:t>
      </w:r>
    </w:p>
    <w:p w14:paraId="1830589D" w14:textId="77777777" w:rsidR="00F36627" w:rsidRPr="009150DF" w:rsidRDefault="00F36627" w:rsidP="00F36627">
      <w:pPr>
        <w:jc w:val="both"/>
        <w:rPr>
          <w:rFonts w:ascii="Century Gothic" w:hAnsi="Century Gothic" w:cstheme="minorHAnsi"/>
          <w:lang w:val="es-CO"/>
        </w:rPr>
      </w:pPr>
    </w:p>
    <w:p w14:paraId="3B9F95D7" w14:textId="77777777" w:rsidR="006714E8" w:rsidRPr="009150DF" w:rsidRDefault="006714E8" w:rsidP="006714E8">
      <w:pPr>
        <w:jc w:val="both"/>
        <w:rPr>
          <w:rFonts w:ascii="Century Gothic" w:hAnsi="Century Gothic" w:cstheme="minorHAnsi"/>
          <w:lang w:val="es-CO"/>
        </w:rPr>
      </w:pPr>
    </w:p>
    <w:p w14:paraId="14183936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0057996C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3BA57EAE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74443AA9" w14:textId="1395D6E5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ORLANDO OLIVERA MORALES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 w:rsidR="00B550AF">
        <w:rPr>
          <w:rFonts w:ascii="Century Gothic" w:eastAsia="Century Gothic" w:hAnsi="Century Gothic" w:cs="Century Gothic"/>
        </w:rPr>
        <w:t>DORIS CONSTANZA C</w:t>
      </w:r>
      <w:r w:rsidR="00505EA6">
        <w:rPr>
          <w:rFonts w:ascii="Century Gothic" w:eastAsia="Century Gothic" w:hAnsi="Century Gothic" w:cs="Century Gothic"/>
        </w:rPr>
        <w:t>AI</w:t>
      </w:r>
      <w:r w:rsidR="00B550AF">
        <w:rPr>
          <w:rFonts w:ascii="Century Gothic" w:eastAsia="Century Gothic" w:hAnsi="Century Gothic" w:cs="Century Gothic"/>
        </w:rPr>
        <w:t>CEDO CORTÉS</w:t>
      </w:r>
    </w:p>
    <w:p w14:paraId="788B5243" w14:textId="202C424B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Rector</w:t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 Docente</w:t>
      </w:r>
    </w:p>
    <w:p w14:paraId="13DFD1B3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0C7C6F29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1CC1350A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3B1C7C80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4EE1195C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063A7EE3" w14:textId="0D22874F" w:rsidR="00B550AF" w:rsidRDefault="00B550AF" w:rsidP="006714E8">
      <w:pPr>
        <w:jc w:val="both"/>
        <w:rPr>
          <w:rFonts w:ascii="Century Gothic" w:eastAsia="Century Gothic" w:hAnsi="Century Gothic" w:cs="Century Gothic"/>
        </w:rPr>
      </w:pPr>
    </w:p>
    <w:p w14:paraId="00ADA810" w14:textId="77777777" w:rsidR="00B550AF" w:rsidRDefault="00B550AF" w:rsidP="006714E8">
      <w:pPr>
        <w:jc w:val="both"/>
        <w:rPr>
          <w:rFonts w:ascii="Century Gothic" w:eastAsia="Century Gothic" w:hAnsi="Century Gothic" w:cs="Century Gothic"/>
        </w:rPr>
      </w:pPr>
    </w:p>
    <w:p w14:paraId="361748C4" w14:textId="77777777" w:rsidR="00B550AF" w:rsidRDefault="00B550AF" w:rsidP="006714E8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2A5FF444" w14:textId="1AC29693" w:rsidR="00B550AF" w:rsidRDefault="00B550AF" w:rsidP="006714E8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GLORIA DÍAZ PARRA</w:t>
      </w:r>
      <w:r w:rsidR="006714E8">
        <w:rPr>
          <w:rFonts w:ascii="Century Gothic" w:eastAsia="Century Gothic" w:hAnsi="Century Gothic" w:cs="Century Gothic"/>
        </w:rPr>
        <w:tab/>
      </w:r>
      <w:r w:rsidR="006714E8">
        <w:rPr>
          <w:rFonts w:ascii="Century Gothic" w:eastAsia="Century Gothic" w:hAnsi="Century Gothic" w:cs="Century Gothic"/>
        </w:rPr>
        <w:tab/>
      </w:r>
      <w:r w:rsidR="006714E8">
        <w:rPr>
          <w:rFonts w:ascii="Century Gothic" w:eastAsia="Century Gothic" w:hAnsi="Century Gothic" w:cs="Century Gothic"/>
        </w:rPr>
        <w:tab/>
        <w:t xml:space="preserve">             </w:t>
      </w:r>
    </w:p>
    <w:p w14:paraId="2C96B69D" w14:textId="241320E1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  <w:r w:rsidR="00B550AF">
        <w:rPr>
          <w:rFonts w:ascii="Century Gothic" w:eastAsia="Century Gothic" w:hAnsi="Century Gothic" w:cs="Century Gothic"/>
        </w:rPr>
        <w:t xml:space="preserve">                                              </w:t>
      </w:r>
      <w:r w:rsidR="0045299C">
        <w:rPr>
          <w:rFonts w:ascii="Century Gothic" w:eastAsia="Century Gothic" w:hAnsi="Century Gothic" w:cs="Century Gothic"/>
        </w:rPr>
        <w:t xml:space="preserve">                           </w:t>
      </w:r>
      <w:r w:rsidR="00B550AF">
        <w:rPr>
          <w:rFonts w:ascii="Century Gothic" w:eastAsia="Century Gothic" w:hAnsi="Century Gothic" w:cs="Century Gothic"/>
        </w:rPr>
        <w:t xml:space="preserve">       </w:t>
      </w:r>
      <w:r w:rsidR="00365718">
        <w:rPr>
          <w:rFonts w:ascii="Century Gothic" w:eastAsia="Century Gothic" w:hAnsi="Century Gothic" w:cs="Century Gothic"/>
        </w:rPr>
        <w:t>DANIEL ANTONIO DURÁN</w:t>
      </w:r>
    </w:p>
    <w:p w14:paraId="2CE876DC" w14:textId="600D2350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Docente</w:t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</w:r>
      <w:r w:rsidR="0045299C">
        <w:rPr>
          <w:rFonts w:ascii="Century Gothic" w:eastAsia="Century Gothic" w:hAnsi="Century Gothic" w:cs="Century Gothic"/>
        </w:rPr>
        <w:tab/>
        <w:t xml:space="preserve">  </w:t>
      </w:r>
      <w:r>
        <w:rPr>
          <w:rFonts w:ascii="Century Gothic" w:eastAsia="Century Gothic" w:hAnsi="Century Gothic" w:cs="Century Gothic"/>
        </w:rPr>
        <w:t xml:space="preserve">   Padre de Familia</w:t>
      </w:r>
    </w:p>
    <w:p w14:paraId="6D2496E2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2FBD4873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0B91306F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5BFBBED5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63D4C72C" w14:textId="5BCB07A3" w:rsidR="006714E8" w:rsidRDefault="006714E8" w:rsidP="006714E8">
      <w:pPr>
        <w:tabs>
          <w:tab w:val="left" w:pos="513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LEONIDAS OLAYA                         </w:t>
      </w:r>
      <w:r w:rsidR="0045299C">
        <w:rPr>
          <w:rFonts w:ascii="Century Gothic" w:eastAsia="Century Gothic" w:hAnsi="Century Gothic" w:cs="Century Gothic"/>
        </w:rPr>
        <w:t xml:space="preserve">                         </w:t>
      </w:r>
      <w:r>
        <w:rPr>
          <w:rFonts w:ascii="Century Gothic" w:eastAsia="Century Gothic" w:hAnsi="Century Gothic" w:cs="Century Gothic"/>
        </w:rPr>
        <w:t xml:space="preserve">    DIANA PATRICIA OTAVO</w:t>
      </w:r>
    </w:p>
    <w:p w14:paraId="74E9BBFF" w14:textId="4201C6D1" w:rsidR="006714E8" w:rsidRDefault="006714E8" w:rsidP="006714E8">
      <w:pPr>
        <w:tabs>
          <w:tab w:val="left" w:pos="513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Padre de Familia                          </w:t>
      </w:r>
      <w:r w:rsidR="0045299C">
        <w:rPr>
          <w:rFonts w:ascii="Century Gothic" w:eastAsia="Century Gothic" w:hAnsi="Century Gothic" w:cs="Century Gothic"/>
        </w:rPr>
        <w:t xml:space="preserve">                          </w:t>
      </w:r>
      <w:r>
        <w:rPr>
          <w:rFonts w:ascii="Century Gothic" w:eastAsia="Century Gothic" w:hAnsi="Century Gothic" w:cs="Century Gothic"/>
        </w:rPr>
        <w:t xml:space="preserve">    </w:t>
      </w:r>
      <w:r w:rsidR="00505EA6">
        <w:rPr>
          <w:rFonts w:ascii="Century Gothic" w:eastAsia="Century Gothic" w:hAnsi="Century Gothic" w:cs="Century Gothic"/>
        </w:rPr>
        <w:t xml:space="preserve">Rep. </w:t>
      </w:r>
      <w:r>
        <w:rPr>
          <w:rFonts w:ascii="Century Gothic" w:eastAsia="Century Gothic" w:hAnsi="Century Gothic" w:cs="Century Gothic"/>
        </w:rPr>
        <w:t>Sector Productivo</w:t>
      </w:r>
    </w:p>
    <w:p w14:paraId="45DE1DBF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752808D1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1BE7315D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0F5D84F2" w14:textId="77777777" w:rsidR="006714E8" w:rsidRDefault="006714E8" w:rsidP="006714E8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11C1E852" w14:textId="1F938DBC" w:rsidR="006714E8" w:rsidRDefault="00B550AF" w:rsidP="006714E8">
      <w:pPr>
        <w:tabs>
          <w:tab w:val="left" w:pos="519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JAGLER FELIPE TERNERA RUEDA</w:t>
      </w:r>
      <w:r w:rsidR="006714E8">
        <w:rPr>
          <w:rFonts w:ascii="Century Gothic" w:eastAsia="Century Gothic" w:hAnsi="Century Gothic" w:cs="Century Gothic"/>
        </w:rPr>
        <w:t xml:space="preserve">                                ANGIE DANIELA ZAMORA</w:t>
      </w:r>
    </w:p>
    <w:p w14:paraId="56FA524D" w14:textId="291B6CEE" w:rsidR="006714E8" w:rsidRDefault="00505EA6" w:rsidP="006714E8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Rep. De los </w:t>
      </w:r>
      <w:r w:rsidR="006714E8">
        <w:rPr>
          <w:rFonts w:ascii="Century Gothic" w:eastAsia="Century Gothic" w:hAnsi="Century Gothic" w:cs="Century Gothic"/>
        </w:rPr>
        <w:t>Estudiante</w:t>
      </w:r>
      <w:r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          </w:t>
      </w:r>
      <w:r w:rsidR="006714E8">
        <w:rPr>
          <w:rFonts w:ascii="Century Gothic" w:eastAsia="Century Gothic" w:hAnsi="Century Gothic" w:cs="Century Gothic"/>
        </w:rPr>
        <w:t>Exalumna</w:t>
      </w:r>
    </w:p>
    <w:p w14:paraId="5C343CDF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5B101C3D" w14:textId="77777777" w:rsidR="006714E8" w:rsidRPr="009150DF" w:rsidRDefault="006714E8" w:rsidP="006714E8">
      <w:pPr>
        <w:jc w:val="both"/>
        <w:rPr>
          <w:rFonts w:ascii="Century Gothic" w:hAnsi="Century Gothic" w:cstheme="minorHAnsi"/>
          <w:lang w:val="es-CO"/>
        </w:rPr>
      </w:pPr>
    </w:p>
    <w:p w14:paraId="11C42DCC" w14:textId="77777777" w:rsidR="00BA7BAB" w:rsidRPr="009150DF" w:rsidRDefault="00BA7BAB" w:rsidP="00F36627">
      <w:pPr>
        <w:jc w:val="center"/>
        <w:rPr>
          <w:rFonts w:ascii="Century Gothic" w:hAnsi="Century Gothic" w:cstheme="minorHAnsi"/>
          <w:lang w:val="es-CO"/>
        </w:rPr>
      </w:pPr>
    </w:p>
    <w:sectPr w:rsidR="00BA7BAB" w:rsidRPr="009150DF" w:rsidSect="00C20D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7AFAC" w14:textId="77777777" w:rsidR="00F264B7" w:rsidRDefault="00F264B7" w:rsidP="00764882">
      <w:r>
        <w:separator/>
      </w:r>
    </w:p>
  </w:endnote>
  <w:endnote w:type="continuationSeparator" w:id="0">
    <w:p w14:paraId="3F8F126C" w14:textId="77777777" w:rsidR="00F264B7" w:rsidRDefault="00F264B7" w:rsidP="0076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090D" w14:textId="77777777" w:rsidR="00F264B7" w:rsidRDefault="00F264B7" w:rsidP="00764882">
      <w:r>
        <w:separator/>
      </w:r>
    </w:p>
  </w:footnote>
  <w:footnote w:type="continuationSeparator" w:id="0">
    <w:p w14:paraId="32B26866" w14:textId="77777777" w:rsidR="00F264B7" w:rsidRDefault="00F264B7" w:rsidP="0076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454C7" w14:textId="0EDAE891" w:rsidR="00570545" w:rsidRPr="0073392B" w:rsidRDefault="00570545" w:rsidP="00570545">
    <w:pPr>
      <w:ind w:firstLine="708"/>
      <w:jc w:val="center"/>
      <w:rPr>
        <w:sz w:val="24"/>
        <w:szCs w:val="24"/>
        <w:lang w:val="es-MX"/>
      </w:rPr>
    </w:pPr>
    <w:r w:rsidRPr="0073392B">
      <w:rPr>
        <w:sz w:val="24"/>
        <w:szCs w:val="24"/>
        <w:lang w:val="es-MX"/>
      </w:rPr>
      <w:t>MINISTERIO DE EDUCACI</w:t>
    </w:r>
    <w:r w:rsidR="00365718">
      <w:rPr>
        <w:sz w:val="24"/>
        <w:szCs w:val="24"/>
        <w:lang w:val="es-MX"/>
      </w:rPr>
      <w:t>Ó</w:t>
    </w:r>
    <w:r w:rsidRPr="0073392B">
      <w:rPr>
        <w:sz w:val="24"/>
        <w:szCs w:val="24"/>
        <w:lang w:val="es-MX"/>
      </w:rPr>
      <w:t>N NACIONAL</w:t>
    </w:r>
  </w:p>
  <w:p w14:paraId="7EA54183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Institución Educativa</w:t>
    </w:r>
  </w:p>
  <w:p w14:paraId="24CF3C19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RA</w:t>
    </w:r>
    <w:r w:rsidR="006F3CCB">
      <w:rPr>
        <w:sz w:val="24"/>
        <w:szCs w:val="24"/>
      </w:rPr>
      <w:t>ÍC</w:t>
    </w:r>
    <w:r w:rsidRPr="0073392B">
      <w:rPr>
        <w:sz w:val="24"/>
        <w:szCs w:val="24"/>
      </w:rPr>
      <w:t>ES DEL FUTURO</w:t>
    </w:r>
  </w:p>
  <w:p w14:paraId="3D414826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Código DANE  No. 173001008945</w:t>
    </w:r>
  </w:p>
  <w:p w14:paraId="0C79B512" w14:textId="382EF1E4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Ap</w:t>
    </w:r>
    <w:r>
      <w:rPr>
        <w:sz w:val="24"/>
        <w:szCs w:val="24"/>
      </w:rPr>
      <w:t>robado por</w:t>
    </w:r>
    <w:r w:rsidR="006F3CCB">
      <w:rPr>
        <w:sz w:val="24"/>
        <w:szCs w:val="24"/>
      </w:rPr>
      <w:t xml:space="preserve"> Resolución No.1</w:t>
    </w:r>
    <w:r w:rsidR="006B6712">
      <w:rPr>
        <w:sz w:val="24"/>
        <w:szCs w:val="24"/>
      </w:rPr>
      <w:t>703</w:t>
    </w:r>
    <w:r w:rsidR="006F3CCB">
      <w:rPr>
        <w:sz w:val="24"/>
        <w:szCs w:val="24"/>
      </w:rPr>
      <w:t>-0</w:t>
    </w:r>
    <w:r w:rsidR="006B6712">
      <w:rPr>
        <w:sz w:val="24"/>
        <w:szCs w:val="24"/>
      </w:rPr>
      <w:t>1965 de 11 de noviembre de 2021</w:t>
    </w:r>
  </w:p>
  <w:p w14:paraId="34243028" w14:textId="77777777" w:rsidR="00764882" w:rsidRPr="0073392B" w:rsidRDefault="00764882" w:rsidP="00764882">
    <w:pPr>
      <w:jc w:val="center"/>
      <w:rPr>
        <w:sz w:val="24"/>
        <w:szCs w:val="24"/>
      </w:rPr>
    </w:pPr>
  </w:p>
  <w:p w14:paraId="6B584658" w14:textId="097D71F7" w:rsidR="00A30579" w:rsidRDefault="00764882" w:rsidP="009E0983">
    <w:pPr>
      <w:jc w:val="center"/>
      <w:rPr>
        <w:sz w:val="24"/>
        <w:szCs w:val="24"/>
        <w:lang w:val="es-MX"/>
      </w:rPr>
    </w:pPr>
    <w:r w:rsidRPr="0073392B">
      <w:rPr>
        <w:sz w:val="24"/>
        <w:szCs w:val="24"/>
        <w:lang w:val="es-MX"/>
      </w:rPr>
      <w:t>ACUERDO No. 0</w:t>
    </w:r>
    <w:r w:rsidR="009150DF">
      <w:rPr>
        <w:sz w:val="24"/>
        <w:szCs w:val="24"/>
        <w:lang w:val="es-MX"/>
      </w:rPr>
      <w:t>0</w:t>
    </w:r>
    <w:r w:rsidR="00106866">
      <w:rPr>
        <w:sz w:val="24"/>
        <w:szCs w:val="24"/>
        <w:lang w:val="es-MX"/>
      </w:rPr>
      <w:t>3</w:t>
    </w:r>
    <w:r w:rsidR="009150DF">
      <w:rPr>
        <w:sz w:val="24"/>
        <w:szCs w:val="24"/>
        <w:lang w:val="es-MX"/>
      </w:rPr>
      <w:t>P</w:t>
    </w:r>
  </w:p>
  <w:p w14:paraId="348F99AD" w14:textId="532FF8C9" w:rsidR="00764882" w:rsidRDefault="00A30579" w:rsidP="002B24FD">
    <w:pPr>
      <w:jc w:val="center"/>
      <w:rPr>
        <w:sz w:val="24"/>
        <w:szCs w:val="24"/>
        <w:lang w:val="es-MX"/>
      </w:rPr>
    </w:pPr>
    <w:r>
      <w:rPr>
        <w:sz w:val="24"/>
        <w:szCs w:val="24"/>
        <w:lang w:val="es-MX"/>
      </w:rPr>
      <w:t>(</w:t>
    </w:r>
    <w:r w:rsidR="00106866">
      <w:rPr>
        <w:sz w:val="24"/>
        <w:szCs w:val="24"/>
        <w:lang w:val="es-MX"/>
      </w:rPr>
      <w:t>06</w:t>
    </w:r>
    <w:r w:rsidR="004F114A">
      <w:rPr>
        <w:sz w:val="24"/>
        <w:szCs w:val="24"/>
        <w:lang w:val="es-MX"/>
      </w:rPr>
      <w:t>/0</w:t>
    </w:r>
    <w:r w:rsidR="006E2B40">
      <w:rPr>
        <w:sz w:val="24"/>
        <w:szCs w:val="24"/>
        <w:lang w:val="es-MX"/>
      </w:rPr>
      <w:t>6</w:t>
    </w:r>
    <w:r w:rsidR="0032412A">
      <w:rPr>
        <w:sz w:val="24"/>
        <w:szCs w:val="24"/>
        <w:lang w:val="es-MX"/>
      </w:rPr>
      <w:t>/2025</w:t>
    </w:r>
    <w:r>
      <w:rPr>
        <w:sz w:val="24"/>
        <w:szCs w:val="24"/>
        <w:lang w:val="es-MX"/>
      </w:rPr>
      <w:t>)</w:t>
    </w:r>
  </w:p>
  <w:p w14:paraId="0407577F" w14:textId="77777777" w:rsidR="002B24FD" w:rsidRDefault="002B24FD" w:rsidP="002B24F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27"/>
    <w:rsid w:val="00040F66"/>
    <w:rsid w:val="0005410C"/>
    <w:rsid w:val="00062F23"/>
    <w:rsid w:val="000713EB"/>
    <w:rsid w:val="00094673"/>
    <w:rsid w:val="000A4C94"/>
    <w:rsid w:val="000B08D9"/>
    <w:rsid w:val="000C30DB"/>
    <w:rsid w:val="000D0D8B"/>
    <w:rsid w:val="000E176A"/>
    <w:rsid w:val="000E6D14"/>
    <w:rsid w:val="00106866"/>
    <w:rsid w:val="0011649A"/>
    <w:rsid w:val="00146947"/>
    <w:rsid w:val="00150D88"/>
    <w:rsid w:val="00160327"/>
    <w:rsid w:val="0016144D"/>
    <w:rsid w:val="00164145"/>
    <w:rsid w:val="00164E9A"/>
    <w:rsid w:val="00171907"/>
    <w:rsid w:val="00187071"/>
    <w:rsid w:val="001B177E"/>
    <w:rsid w:val="001D1FA0"/>
    <w:rsid w:val="002200AD"/>
    <w:rsid w:val="00221527"/>
    <w:rsid w:val="00224F17"/>
    <w:rsid w:val="00237864"/>
    <w:rsid w:val="00245A31"/>
    <w:rsid w:val="00246803"/>
    <w:rsid w:val="00260D4B"/>
    <w:rsid w:val="0026130F"/>
    <w:rsid w:val="002A2271"/>
    <w:rsid w:val="002B24FD"/>
    <w:rsid w:val="002D29E8"/>
    <w:rsid w:val="002D391F"/>
    <w:rsid w:val="002F5100"/>
    <w:rsid w:val="00302B6D"/>
    <w:rsid w:val="00313394"/>
    <w:rsid w:val="003168A7"/>
    <w:rsid w:val="003169AE"/>
    <w:rsid w:val="0032412A"/>
    <w:rsid w:val="003405F8"/>
    <w:rsid w:val="00345717"/>
    <w:rsid w:val="00354954"/>
    <w:rsid w:val="0036163D"/>
    <w:rsid w:val="00365718"/>
    <w:rsid w:val="0037284B"/>
    <w:rsid w:val="00392B21"/>
    <w:rsid w:val="00395D77"/>
    <w:rsid w:val="003A2CFD"/>
    <w:rsid w:val="003A34D1"/>
    <w:rsid w:val="003A3E40"/>
    <w:rsid w:val="003A64CF"/>
    <w:rsid w:val="003D12C4"/>
    <w:rsid w:val="003E0DA6"/>
    <w:rsid w:val="003E3E50"/>
    <w:rsid w:val="003E49AB"/>
    <w:rsid w:val="003F5706"/>
    <w:rsid w:val="00441BC6"/>
    <w:rsid w:val="0045299C"/>
    <w:rsid w:val="00454A89"/>
    <w:rsid w:val="0045748F"/>
    <w:rsid w:val="00464D80"/>
    <w:rsid w:val="00466E34"/>
    <w:rsid w:val="00473E5F"/>
    <w:rsid w:val="004763EA"/>
    <w:rsid w:val="004F0FF5"/>
    <w:rsid w:val="004F114A"/>
    <w:rsid w:val="00505EA6"/>
    <w:rsid w:val="00520A3A"/>
    <w:rsid w:val="00531A78"/>
    <w:rsid w:val="00535CED"/>
    <w:rsid w:val="00536252"/>
    <w:rsid w:val="00545E9B"/>
    <w:rsid w:val="005517C4"/>
    <w:rsid w:val="005657A8"/>
    <w:rsid w:val="00570545"/>
    <w:rsid w:val="00570772"/>
    <w:rsid w:val="005A1FC0"/>
    <w:rsid w:val="005A4AD3"/>
    <w:rsid w:val="005A7EBC"/>
    <w:rsid w:val="005B17CF"/>
    <w:rsid w:val="005C4344"/>
    <w:rsid w:val="0060438B"/>
    <w:rsid w:val="00615F20"/>
    <w:rsid w:val="0064154F"/>
    <w:rsid w:val="00655898"/>
    <w:rsid w:val="00661E3E"/>
    <w:rsid w:val="00666E58"/>
    <w:rsid w:val="006714E8"/>
    <w:rsid w:val="006906F1"/>
    <w:rsid w:val="00696813"/>
    <w:rsid w:val="006B42A6"/>
    <w:rsid w:val="006B6712"/>
    <w:rsid w:val="006C4C1D"/>
    <w:rsid w:val="006D65B4"/>
    <w:rsid w:val="006E2B40"/>
    <w:rsid w:val="006F3CCB"/>
    <w:rsid w:val="00706F0D"/>
    <w:rsid w:val="0072667F"/>
    <w:rsid w:val="0073392B"/>
    <w:rsid w:val="00751559"/>
    <w:rsid w:val="00760029"/>
    <w:rsid w:val="00764882"/>
    <w:rsid w:val="0078113E"/>
    <w:rsid w:val="007A4567"/>
    <w:rsid w:val="007A6473"/>
    <w:rsid w:val="007A65B8"/>
    <w:rsid w:val="007B23E0"/>
    <w:rsid w:val="007C07C8"/>
    <w:rsid w:val="007C1C2D"/>
    <w:rsid w:val="007E15E4"/>
    <w:rsid w:val="0084063F"/>
    <w:rsid w:val="00847CAB"/>
    <w:rsid w:val="00847FDD"/>
    <w:rsid w:val="00853AD4"/>
    <w:rsid w:val="0087456C"/>
    <w:rsid w:val="008A58F8"/>
    <w:rsid w:val="008A7C99"/>
    <w:rsid w:val="008B6B73"/>
    <w:rsid w:val="008C6ACB"/>
    <w:rsid w:val="008C7D85"/>
    <w:rsid w:val="008D6DAB"/>
    <w:rsid w:val="008F2B36"/>
    <w:rsid w:val="008F41F9"/>
    <w:rsid w:val="009150DF"/>
    <w:rsid w:val="00926105"/>
    <w:rsid w:val="00927C9B"/>
    <w:rsid w:val="00937DAC"/>
    <w:rsid w:val="00944841"/>
    <w:rsid w:val="00954A79"/>
    <w:rsid w:val="009575FF"/>
    <w:rsid w:val="009653B2"/>
    <w:rsid w:val="009835FF"/>
    <w:rsid w:val="009A349F"/>
    <w:rsid w:val="009B0E63"/>
    <w:rsid w:val="009D3B09"/>
    <w:rsid w:val="009E0983"/>
    <w:rsid w:val="00A233A6"/>
    <w:rsid w:val="00A30579"/>
    <w:rsid w:val="00A71080"/>
    <w:rsid w:val="00A926E9"/>
    <w:rsid w:val="00AB7CC4"/>
    <w:rsid w:val="00AC1478"/>
    <w:rsid w:val="00AC192A"/>
    <w:rsid w:val="00AC7514"/>
    <w:rsid w:val="00AD3D31"/>
    <w:rsid w:val="00AF2E9C"/>
    <w:rsid w:val="00B15DA2"/>
    <w:rsid w:val="00B21570"/>
    <w:rsid w:val="00B33BBF"/>
    <w:rsid w:val="00B52935"/>
    <w:rsid w:val="00B550AF"/>
    <w:rsid w:val="00B75264"/>
    <w:rsid w:val="00B76E3F"/>
    <w:rsid w:val="00B81EC5"/>
    <w:rsid w:val="00B836BD"/>
    <w:rsid w:val="00BA5A22"/>
    <w:rsid w:val="00BA6AD9"/>
    <w:rsid w:val="00BA7BAB"/>
    <w:rsid w:val="00BD2D89"/>
    <w:rsid w:val="00BE1008"/>
    <w:rsid w:val="00BF53B3"/>
    <w:rsid w:val="00C019A6"/>
    <w:rsid w:val="00C07515"/>
    <w:rsid w:val="00C20D59"/>
    <w:rsid w:val="00C347FB"/>
    <w:rsid w:val="00C47682"/>
    <w:rsid w:val="00C80C52"/>
    <w:rsid w:val="00CA2819"/>
    <w:rsid w:val="00CD4DA8"/>
    <w:rsid w:val="00CE1054"/>
    <w:rsid w:val="00CE5627"/>
    <w:rsid w:val="00CE7AE5"/>
    <w:rsid w:val="00D12B3B"/>
    <w:rsid w:val="00D13F74"/>
    <w:rsid w:val="00D140AD"/>
    <w:rsid w:val="00D14A3A"/>
    <w:rsid w:val="00D179DC"/>
    <w:rsid w:val="00D2116D"/>
    <w:rsid w:val="00D608C9"/>
    <w:rsid w:val="00D8085B"/>
    <w:rsid w:val="00D838FA"/>
    <w:rsid w:val="00D84F8F"/>
    <w:rsid w:val="00D97FC2"/>
    <w:rsid w:val="00DA64B9"/>
    <w:rsid w:val="00DA6DCC"/>
    <w:rsid w:val="00DD3C8B"/>
    <w:rsid w:val="00DE1216"/>
    <w:rsid w:val="00DF080D"/>
    <w:rsid w:val="00E06094"/>
    <w:rsid w:val="00E13021"/>
    <w:rsid w:val="00E223DF"/>
    <w:rsid w:val="00E227B7"/>
    <w:rsid w:val="00E2795E"/>
    <w:rsid w:val="00E35043"/>
    <w:rsid w:val="00E56311"/>
    <w:rsid w:val="00E66D94"/>
    <w:rsid w:val="00E7033E"/>
    <w:rsid w:val="00E84E97"/>
    <w:rsid w:val="00EA3F61"/>
    <w:rsid w:val="00EA4CC8"/>
    <w:rsid w:val="00EA7F71"/>
    <w:rsid w:val="00EC26F5"/>
    <w:rsid w:val="00F20795"/>
    <w:rsid w:val="00F249BE"/>
    <w:rsid w:val="00F264B7"/>
    <w:rsid w:val="00F36627"/>
    <w:rsid w:val="00F473EC"/>
    <w:rsid w:val="00F62971"/>
    <w:rsid w:val="00F638BD"/>
    <w:rsid w:val="00F7561E"/>
    <w:rsid w:val="00FB0468"/>
    <w:rsid w:val="00FB0EA8"/>
    <w:rsid w:val="00FD5453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DCB9"/>
  <w15:docId w15:val="{190758CA-69A9-4DF6-BF04-BCB791B5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36627"/>
    <w:pPr>
      <w:jc w:val="both"/>
    </w:pPr>
    <w:rPr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36627"/>
    <w:rPr>
      <w:rFonts w:ascii="Times New Roman" w:eastAsia="Times New Roman" w:hAnsi="Times New Roman" w:cs="Times New Roman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fasis">
    <w:name w:val="Emphasis"/>
    <w:qFormat/>
    <w:rsid w:val="00EA4CC8"/>
    <w:rPr>
      <w:i/>
      <w:iCs/>
    </w:rPr>
  </w:style>
  <w:style w:type="character" w:styleId="Textoennegrita">
    <w:name w:val="Strong"/>
    <w:basedOn w:val="Fuentedeprrafopredeter"/>
    <w:uiPriority w:val="22"/>
    <w:qFormat/>
    <w:rsid w:val="00C347F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9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99C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8DD81-0852-474E-B296-2A06D563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HP</cp:lastModifiedBy>
  <cp:revision>2</cp:revision>
  <cp:lastPrinted>2025-06-05T14:27:00Z</cp:lastPrinted>
  <dcterms:created xsi:type="dcterms:W3CDTF">2025-06-06T15:20:00Z</dcterms:created>
  <dcterms:modified xsi:type="dcterms:W3CDTF">2025-06-06T15:20:00Z</dcterms:modified>
</cp:coreProperties>
</file>